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EB23" w14:textId="40548661" w:rsidR="00902390" w:rsidRPr="008A482B" w:rsidRDefault="00D05BE6" w:rsidP="00F07255">
      <w:pPr>
        <w:jc w:val="center"/>
        <w:rPr>
          <w:rFonts w:ascii="Arial" w:eastAsia="Arial" w:hAnsi="Arial" w:cs="Arial"/>
          <w:b/>
          <w:color w:val="000000"/>
          <w:sz w:val="22"/>
          <w:szCs w:val="22"/>
        </w:rPr>
      </w:pPr>
      <w:r w:rsidRPr="008A482B">
        <w:rPr>
          <w:rFonts w:ascii="Arial" w:eastAsia="Arial" w:hAnsi="Arial" w:cs="Arial"/>
          <w:b/>
          <w:color w:val="000000"/>
          <w:sz w:val="22"/>
          <w:szCs w:val="22"/>
        </w:rPr>
        <w:t>Informe de ponencia para primer debate en Cámara al Pro</w:t>
      </w:r>
      <w:r w:rsidR="008603AE" w:rsidRPr="008A482B">
        <w:rPr>
          <w:rFonts w:ascii="Arial" w:eastAsia="Arial" w:hAnsi="Arial" w:cs="Arial"/>
          <w:b/>
          <w:color w:val="000000"/>
          <w:sz w:val="22"/>
          <w:szCs w:val="22"/>
        </w:rPr>
        <w:t xml:space="preserve">yecto de </w:t>
      </w:r>
      <w:r w:rsidR="00902390" w:rsidRPr="008A482B">
        <w:rPr>
          <w:rFonts w:ascii="Arial" w:eastAsia="Arial" w:hAnsi="Arial" w:cs="Arial"/>
          <w:b/>
          <w:color w:val="000000"/>
          <w:sz w:val="22"/>
          <w:szCs w:val="22"/>
        </w:rPr>
        <w:t xml:space="preserve">Ley </w:t>
      </w:r>
      <w:proofErr w:type="spellStart"/>
      <w:r w:rsidR="008603AE" w:rsidRPr="008A482B">
        <w:rPr>
          <w:rFonts w:ascii="Arial" w:eastAsia="Arial" w:hAnsi="Arial" w:cs="Arial"/>
          <w:b/>
          <w:color w:val="000000"/>
          <w:sz w:val="22"/>
          <w:szCs w:val="22"/>
        </w:rPr>
        <w:t>Nº</w:t>
      </w:r>
      <w:proofErr w:type="spellEnd"/>
      <w:r w:rsidR="008603AE" w:rsidRPr="008A482B">
        <w:rPr>
          <w:rFonts w:ascii="Arial" w:eastAsia="Arial" w:hAnsi="Arial" w:cs="Arial"/>
          <w:b/>
          <w:color w:val="000000"/>
          <w:sz w:val="22"/>
          <w:szCs w:val="22"/>
        </w:rPr>
        <w:t xml:space="preserve"> </w:t>
      </w:r>
      <w:r w:rsidR="0099685D" w:rsidRPr="008A482B">
        <w:rPr>
          <w:rFonts w:ascii="Arial" w:eastAsia="Arial" w:hAnsi="Arial" w:cs="Arial"/>
          <w:b/>
          <w:color w:val="000000"/>
          <w:sz w:val="22"/>
          <w:szCs w:val="22"/>
        </w:rPr>
        <w:t>114</w:t>
      </w:r>
      <w:r w:rsidRPr="008A482B">
        <w:rPr>
          <w:rFonts w:ascii="Arial" w:eastAsia="Arial" w:hAnsi="Arial" w:cs="Arial"/>
          <w:b/>
          <w:color w:val="000000"/>
          <w:sz w:val="22"/>
          <w:szCs w:val="22"/>
        </w:rPr>
        <w:t xml:space="preserve"> de 2022 Cámara </w:t>
      </w:r>
    </w:p>
    <w:p w14:paraId="7FB328B0" w14:textId="77777777" w:rsidR="00902390" w:rsidRPr="008A482B" w:rsidRDefault="00902390" w:rsidP="00F07255">
      <w:pPr>
        <w:jc w:val="center"/>
        <w:rPr>
          <w:rFonts w:ascii="Arial" w:eastAsia="Arial" w:hAnsi="Arial" w:cs="Arial"/>
          <w:b/>
          <w:color w:val="000000"/>
          <w:sz w:val="22"/>
          <w:szCs w:val="22"/>
        </w:rPr>
      </w:pPr>
    </w:p>
    <w:p w14:paraId="4B87DCC4" w14:textId="4982F742" w:rsidR="00D05BE6" w:rsidRPr="008A482B" w:rsidRDefault="0099685D" w:rsidP="00F07255">
      <w:pPr>
        <w:jc w:val="center"/>
        <w:rPr>
          <w:rFonts w:ascii="Arial" w:eastAsia="Arial" w:hAnsi="Arial" w:cs="Arial"/>
          <w:b/>
          <w:i/>
          <w:color w:val="000000"/>
          <w:sz w:val="22"/>
          <w:szCs w:val="22"/>
        </w:rPr>
      </w:pPr>
      <w:r w:rsidRPr="008A482B">
        <w:rPr>
          <w:rFonts w:ascii="Arial" w:eastAsia="Arial" w:hAnsi="Arial" w:cs="Arial"/>
          <w:b/>
          <w:i/>
          <w:color w:val="000000"/>
          <w:sz w:val="22"/>
          <w:szCs w:val="22"/>
        </w:rPr>
        <w:t>“Por la cual se declara la imprescriptibilidad de la acción penal para los homicidios contra los integrantes de la Fuerza Pública”</w:t>
      </w:r>
    </w:p>
    <w:p w14:paraId="362D1B4D" w14:textId="45460D9B" w:rsidR="00D05BE6" w:rsidRPr="008A482B" w:rsidRDefault="00D05BE6" w:rsidP="00F07255">
      <w:pPr>
        <w:jc w:val="center"/>
        <w:rPr>
          <w:rFonts w:ascii="Arial" w:eastAsia="Arial" w:hAnsi="Arial" w:cs="Arial"/>
          <w:color w:val="000000"/>
          <w:sz w:val="22"/>
          <w:szCs w:val="22"/>
        </w:rPr>
      </w:pPr>
    </w:p>
    <w:p w14:paraId="2B84BA58" w14:textId="77777777" w:rsidR="0099685D" w:rsidRPr="008A482B" w:rsidRDefault="0099685D" w:rsidP="00F07255">
      <w:pPr>
        <w:jc w:val="center"/>
        <w:rPr>
          <w:rFonts w:ascii="Arial" w:eastAsia="Arial" w:hAnsi="Arial" w:cs="Arial"/>
          <w:color w:val="000000"/>
          <w:sz w:val="22"/>
          <w:szCs w:val="22"/>
        </w:rPr>
      </w:pPr>
    </w:p>
    <w:p w14:paraId="7B7D397A" w14:textId="546F1A05" w:rsidR="00D05BE6" w:rsidRPr="008A482B" w:rsidRDefault="00D05BE6" w:rsidP="00F07255">
      <w:pPr>
        <w:jc w:val="both"/>
        <w:rPr>
          <w:rFonts w:ascii="Arial" w:eastAsia="Arial" w:hAnsi="Arial" w:cs="Arial"/>
          <w:color w:val="000000"/>
          <w:sz w:val="22"/>
          <w:szCs w:val="22"/>
        </w:rPr>
      </w:pPr>
      <w:r w:rsidRPr="008A482B">
        <w:rPr>
          <w:rFonts w:ascii="Arial" w:eastAsia="Arial" w:hAnsi="Arial" w:cs="Arial"/>
          <w:color w:val="000000"/>
          <w:sz w:val="22"/>
          <w:szCs w:val="22"/>
        </w:rPr>
        <w:t>Bogotá</w:t>
      </w:r>
      <w:r w:rsidR="008939FA" w:rsidRPr="008A482B">
        <w:rPr>
          <w:rFonts w:ascii="Arial" w:eastAsia="Arial" w:hAnsi="Arial" w:cs="Arial"/>
          <w:color w:val="000000"/>
          <w:sz w:val="22"/>
          <w:szCs w:val="22"/>
        </w:rPr>
        <w:t>,</w:t>
      </w:r>
      <w:r w:rsidRPr="008A482B">
        <w:rPr>
          <w:rFonts w:ascii="Arial" w:eastAsia="Arial" w:hAnsi="Arial" w:cs="Arial"/>
          <w:color w:val="000000"/>
          <w:sz w:val="22"/>
          <w:szCs w:val="22"/>
        </w:rPr>
        <w:t xml:space="preserve"> D</w:t>
      </w:r>
      <w:r w:rsidR="00CE484A" w:rsidRPr="008A482B">
        <w:rPr>
          <w:rFonts w:ascii="Arial" w:eastAsia="Arial" w:hAnsi="Arial" w:cs="Arial"/>
          <w:color w:val="000000"/>
          <w:sz w:val="22"/>
          <w:szCs w:val="22"/>
        </w:rPr>
        <w:t>.</w:t>
      </w:r>
      <w:r w:rsidRPr="008A482B">
        <w:rPr>
          <w:rFonts w:ascii="Arial" w:eastAsia="Arial" w:hAnsi="Arial" w:cs="Arial"/>
          <w:color w:val="000000"/>
          <w:sz w:val="22"/>
          <w:szCs w:val="22"/>
        </w:rPr>
        <w:t>C.</w:t>
      </w:r>
      <w:r w:rsidR="00CE484A" w:rsidRPr="008A482B">
        <w:rPr>
          <w:rFonts w:ascii="Arial" w:eastAsia="Arial" w:hAnsi="Arial" w:cs="Arial"/>
          <w:color w:val="000000"/>
          <w:sz w:val="22"/>
          <w:szCs w:val="22"/>
        </w:rPr>
        <w:t>,</w:t>
      </w:r>
      <w:r w:rsidR="00184CF8" w:rsidRPr="008A482B">
        <w:rPr>
          <w:rFonts w:ascii="Arial" w:eastAsia="Arial" w:hAnsi="Arial" w:cs="Arial"/>
          <w:sz w:val="22"/>
          <w:szCs w:val="22"/>
        </w:rPr>
        <w:t xml:space="preserve"> </w:t>
      </w:r>
      <w:r w:rsidR="0099685D" w:rsidRPr="008A482B">
        <w:rPr>
          <w:rFonts w:ascii="Arial" w:eastAsia="Arial" w:hAnsi="Arial" w:cs="Arial"/>
          <w:sz w:val="22"/>
          <w:szCs w:val="22"/>
        </w:rPr>
        <w:t>diciembre</w:t>
      </w:r>
      <w:r w:rsidR="00184CF8" w:rsidRPr="008A482B">
        <w:rPr>
          <w:rFonts w:ascii="Arial" w:eastAsia="Arial" w:hAnsi="Arial" w:cs="Arial"/>
          <w:sz w:val="22"/>
          <w:szCs w:val="22"/>
        </w:rPr>
        <w:t xml:space="preserve"> </w:t>
      </w:r>
      <w:r w:rsidRPr="008A482B">
        <w:rPr>
          <w:rFonts w:ascii="Arial" w:eastAsia="Arial" w:hAnsi="Arial" w:cs="Arial"/>
          <w:color w:val="000000"/>
          <w:sz w:val="22"/>
          <w:szCs w:val="22"/>
        </w:rPr>
        <w:t>de 2022.</w:t>
      </w:r>
    </w:p>
    <w:p w14:paraId="0E12FBBA" w14:textId="77777777" w:rsidR="00D05BE6" w:rsidRPr="008A482B" w:rsidRDefault="00D05BE6" w:rsidP="00F07255">
      <w:pPr>
        <w:ind w:left="708" w:hanging="708"/>
        <w:jc w:val="both"/>
        <w:rPr>
          <w:rFonts w:ascii="Arial" w:eastAsia="Arial" w:hAnsi="Arial" w:cs="Arial"/>
          <w:color w:val="000000"/>
          <w:sz w:val="22"/>
          <w:szCs w:val="22"/>
        </w:rPr>
      </w:pPr>
    </w:p>
    <w:p w14:paraId="094FD289" w14:textId="77777777" w:rsidR="00D05BE6" w:rsidRPr="008A482B" w:rsidRDefault="00D05BE6" w:rsidP="00F07255">
      <w:pPr>
        <w:jc w:val="both"/>
        <w:rPr>
          <w:rFonts w:ascii="Arial" w:eastAsia="Arial" w:hAnsi="Arial" w:cs="Arial"/>
          <w:color w:val="000000"/>
          <w:sz w:val="22"/>
          <w:szCs w:val="22"/>
        </w:rPr>
      </w:pPr>
    </w:p>
    <w:p w14:paraId="564C7B94" w14:textId="77777777" w:rsidR="00D05BE6" w:rsidRPr="008A482B" w:rsidRDefault="00D05BE6" w:rsidP="00F07255">
      <w:pPr>
        <w:jc w:val="both"/>
        <w:rPr>
          <w:rFonts w:ascii="Arial" w:eastAsia="Arial" w:hAnsi="Arial" w:cs="Arial"/>
          <w:color w:val="000000"/>
          <w:sz w:val="22"/>
          <w:szCs w:val="22"/>
        </w:rPr>
      </w:pPr>
      <w:r w:rsidRPr="008A482B">
        <w:rPr>
          <w:rFonts w:ascii="Arial" w:eastAsia="Arial" w:hAnsi="Arial" w:cs="Arial"/>
          <w:color w:val="000000"/>
          <w:sz w:val="22"/>
          <w:szCs w:val="22"/>
        </w:rPr>
        <w:t>H. Representante</w:t>
      </w:r>
    </w:p>
    <w:p w14:paraId="4F2DC43E" w14:textId="593C5987" w:rsidR="00D05BE6" w:rsidRPr="008A482B" w:rsidRDefault="00D05BE6" w:rsidP="00F07255">
      <w:pPr>
        <w:jc w:val="both"/>
        <w:rPr>
          <w:rFonts w:ascii="Arial" w:eastAsia="Arial" w:hAnsi="Arial" w:cs="Arial"/>
          <w:b/>
          <w:color w:val="000000"/>
          <w:sz w:val="22"/>
          <w:szCs w:val="22"/>
        </w:rPr>
      </w:pPr>
      <w:r w:rsidRPr="008A482B">
        <w:rPr>
          <w:rFonts w:ascii="Arial" w:eastAsia="Arial" w:hAnsi="Arial" w:cs="Arial"/>
          <w:b/>
          <w:color w:val="000000"/>
          <w:sz w:val="22"/>
          <w:szCs w:val="22"/>
        </w:rPr>
        <w:t>JUAN CARLOS WILLS OSPINA</w:t>
      </w:r>
    </w:p>
    <w:p w14:paraId="29CE5272" w14:textId="77777777" w:rsidR="00D05BE6" w:rsidRPr="008A482B" w:rsidRDefault="00D05BE6" w:rsidP="00F07255">
      <w:pPr>
        <w:jc w:val="both"/>
        <w:rPr>
          <w:rFonts w:ascii="Arial" w:eastAsia="Arial" w:hAnsi="Arial" w:cs="Arial"/>
          <w:color w:val="000000"/>
          <w:sz w:val="22"/>
          <w:szCs w:val="22"/>
        </w:rPr>
      </w:pPr>
      <w:r w:rsidRPr="008A482B">
        <w:rPr>
          <w:rFonts w:ascii="Arial" w:eastAsia="Arial" w:hAnsi="Arial" w:cs="Arial"/>
          <w:color w:val="000000"/>
          <w:sz w:val="22"/>
          <w:szCs w:val="22"/>
        </w:rPr>
        <w:t>Presidente</w:t>
      </w:r>
    </w:p>
    <w:p w14:paraId="6B3DA3AC" w14:textId="77777777" w:rsidR="00D05BE6" w:rsidRPr="008A482B" w:rsidRDefault="00D05BE6" w:rsidP="00F07255">
      <w:pPr>
        <w:jc w:val="both"/>
        <w:rPr>
          <w:rFonts w:ascii="Arial" w:eastAsia="Arial" w:hAnsi="Arial" w:cs="Arial"/>
          <w:color w:val="000000"/>
          <w:sz w:val="22"/>
          <w:szCs w:val="22"/>
        </w:rPr>
      </w:pPr>
      <w:r w:rsidRPr="008A482B">
        <w:rPr>
          <w:rFonts w:ascii="Arial" w:eastAsia="Arial" w:hAnsi="Arial" w:cs="Arial"/>
          <w:color w:val="000000"/>
          <w:sz w:val="22"/>
          <w:szCs w:val="22"/>
        </w:rPr>
        <w:t>Comisión Primera Constitucional</w:t>
      </w:r>
    </w:p>
    <w:p w14:paraId="36BCE988" w14:textId="092D7D19" w:rsidR="00D05BE6" w:rsidRDefault="00D05BE6" w:rsidP="00F07255">
      <w:pPr>
        <w:jc w:val="both"/>
        <w:rPr>
          <w:rFonts w:ascii="Arial" w:eastAsia="Arial" w:hAnsi="Arial" w:cs="Arial"/>
          <w:color w:val="000000"/>
          <w:sz w:val="22"/>
          <w:szCs w:val="22"/>
        </w:rPr>
      </w:pPr>
      <w:r w:rsidRPr="008A482B">
        <w:rPr>
          <w:rFonts w:ascii="Arial" w:eastAsia="Arial" w:hAnsi="Arial" w:cs="Arial"/>
          <w:color w:val="000000"/>
          <w:sz w:val="22"/>
          <w:szCs w:val="22"/>
        </w:rPr>
        <w:t>H. Cámara de Representantes</w:t>
      </w:r>
    </w:p>
    <w:p w14:paraId="3124E6CC" w14:textId="11909096" w:rsidR="002D4DC8" w:rsidRPr="008A482B" w:rsidRDefault="002D4DC8" w:rsidP="00F07255">
      <w:pPr>
        <w:jc w:val="both"/>
        <w:rPr>
          <w:rFonts w:ascii="Arial" w:eastAsia="Arial" w:hAnsi="Arial" w:cs="Arial"/>
          <w:color w:val="000000"/>
          <w:sz w:val="22"/>
          <w:szCs w:val="22"/>
        </w:rPr>
      </w:pPr>
      <w:r>
        <w:rPr>
          <w:rFonts w:ascii="Arial" w:eastAsia="Arial" w:hAnsi="Arial" w:cs="Arial"/>
          <w:color w:val="000000"/>
          <w:sz w:val="22"/>
          <w:szCs w:val="22"/>
        </w:rPr>
        <w:t>Ciudad</w:t>
      </w:r>
    </w:p>
    <w:p w14:paraId="0857DD8D" w14:textId="77777777" w:rsidR="00D05BE6" w:rsidRPr="008A482B" w:rsidRDefault="00D05BE6" w:rsidP="00F07255">
      <w:pPr>
        <w:jc w:val="both"/>
        <w:rPr>
          <w:rFonts w:ascii="Arial" w:eastAsia="Arial" w:hAnsi="Arial" w:cs="Arial"/>
          <w:color w:val="000000"/>
          <w:sz w:val="22"/>
          <w:szCs w:val="22"/>
        </w:rPr>
      </w:pPr>
    </w:p>
    <w:p w14:paraId="2DDB2737" w14:textId="77777777" w:rsidR="00D05BE6" w:rsidRPr="008A482B" w:rsidRDefault="00D05BE6" w:rsidP="00F07255">
      <w:pPr>
        <w:jc w:val="both"/>
        <w:rPr>
          <w:rFonts w:ascii="Arial" w:eastAsia="Arial" w:hAnsi="Arial" w:cs="Arial"/>
          <w:color w:val="000000"/>
          <w:sz w:val="22"/>
          <w:szCs w:val="22"/>
        </w:rPr>
      </w:pPr>
    </w:p>
    <w:p w14:paraId="4B7C3D46" w14:textId="19853DF0" w:rsidR="00D05BE6" w:rsidRPr="008A482B" w:rsidRDefault="00D05BE6" w:rsidP="00F07255">
      <w:pPr>
        <w:ind w:left="1416"/>
        <w:jc w:val="both"/>
        <w:rPr>
          <w:rFonts w:ascii="Arial" w:eastAsia="Arial Narrow" w:hAnsi="Arial" w:cs="Arial"/>
          <w:color w:val="000000"/>
          <w:sz w:val="22"/>
          <w:szCs w:val="22"/>
        </w:rPr>
      </w:pPr>
      <w:r w:rsidRPr="008A482B">
        <w:rPr>
          <w:rFonts w:ascii="Arial" w:eastAsia="Arial Narrow" w:hAnsi="Arial" w:cs="Arial"/>
          <w:b/>
          <w:color w:val="000000"/>
          <w:sz w:val="22"/>
          <w:szCs w:val="22"/>
        </w:rPr>
        <w:t>Ref</w:t>
      </w:r>
      <w:r w:rsidR="00902390" w:rsidRPr="008A482B">
        <w:rPr>
          <w:rFonts w:ascii="Arial" w:eastAsia="Arial Narrow" w:hAnsi="Arial" w:cs="Arial"/>
          <w:b/>
          <w:color w:val="000000"/>
          <w:sz w:val="22"/>
          <w:szCs w:val="22"/>
        </w:rPr>
        <w:t>erencia</w:t>
      </w:r>
      <w:r w:rsidRPr="008A482B">
        <w:rPr>
          <w:rFonts w:ascii="Arial" w:eastAsia="Arial Narrow" w:hAnsi="Arial" w:cs="Arial"/>
          <w:b/>
          <w:color w:val="000000"/>
          <w:sz w:val="22"/>
          <w:szCs w:val="22"/>
        </w:rPr>
        <w:t xml:space="preserve">: </w:t>
      </w:r>
      <w:r w:rsidRPr="008A482B">
        <w:rPr>
          <w:rFonts w:ascii="Arial" w:eastAsia="Arial Narrow" w:hAnsi="Arial" w:cs="Arial"/>
          <w:color w:val="000000"/>
          <w:sz w:val="22"/>
          <w:szCs w:val="22"/>
        </w:rPr>
        <w:t>Informe</w:t>
      </w:r>
      <w:r w:rsidR="008939FA" w:rsidRPr="008A482B">
        <w:rPr>
          <w:rFonts w:ascii="Arial" w:eastAsia="Arial Narrow" w:hAnsi="Arial" w:cs="Arial"/>
          <w:color w:val="000000"/>
          <w:sz w:val="22"/>
          <w:szCs w:val="22"/>
        </w:rPr>
        <w:t xml:space="preserve"> de ponencia</w:t>
      </w:r>
      <w:r w:rsidRPr="008A482B">
        <w:rPr>
          <w:rFonts w:ascii="Arial" w:eastAsia="Arial Narrow" w:hAnsi="Arial" w:cs="Arial"/>
          <w:color w:val="000000"/>
          <w:sz w:val="22"/>
          <w:szCs w:val="22"/>
        </w:rPr>
        <w:t xml:space="preserve"> para </w:t>
      </w:r>
      <w:r w:rsidRPr="008A482B">
        <w:rPr>
          <w:rFonts w:ascii="Arial" w:eastAsia="Arial Narrow" w:hAnsi="Arial" w:cs="Arial"/>
          <w:b/>
          <w:i/>
          <w:color w:val="000000"/>
          <w:sz w:val="22"/>
          <w:szCs w:val="22"/>
          <w:u w:val="single"/>
        </w:rPr>
        <w:t>Primer Debate</w:t>
      </w:r>
      <w:r w:rsidRPr="008A482B">
        <w:rPr>
          <w:rFonts w:ascii="Arial" w:eastAsia="Arial Narrow" w:hAnsi="Arial" w:cs="Arial"/>
          <w:color w:val="000000"/>
          <w:sz w:val="22"/>
          <w:szCs w:val="22"/>
        </w:rPr>
        <w:t xml:space="preserve"> d</w:t>
      </w:r>
      <w:r w:rsidR="00185503" w:rsidRPr="008A482B">
        <w:rPr>
          <w:rFonts w:ascii="Arial" w:eastAsia="Arial Narrow" w:hAnsi="Arial" w:cs="Arial"/>
          <w:color w:val="000000"/>
          <w:sz w:val="22"/>
          <w:szCs w:val="22"/>
        </w:rPr>
        <w:t xml:space="preserve">el Proyecto de Ley </w:t>
      </w:r>
      <w:r w:rsidR="000C05A6">
        <w:rPr>
          <w:rFonts w:ascii="Arial" w:eastAsia="Arial Narrow" w:hAnsi="Arial" w:cs="Arial"/>
          <w:color w:val="000000"/>
          <w:sz w:val="22"/>
          <w:szCs w:val="22"/>
        </w:rPr>
        <w:t>n</w:t>
      </w:r>
      <w:r w:rsidR="00185503" w:rsidRPr="008A482B">
        <w:rPr>
          <w:rFonts w:ascii="Arial" w:eastAsia="Arial Narrow" w:hAnsi="Arial" w:cs="Arial"/>
          <w:color w:val="000000"/>
          <w:sz w:val="22"/>
          <w:szCs w:val="22"/>
        </w:rPr>
        <w:t xml:space="preserve">úmero </w:t>
      </w:r>
      <w:r w:rsidR="0099685D" w:rsidRPr="008A482B">
        <w:rPr>
          <w:rFonts w:ascii="Arial" w:eastAsia="Arial Narrow" w:hAnsi="Arial" w:cs="Arial"/>
          <w:color w:val="000000"/>
          <w:sz w:val="22"/>
          <w:szCs w:val="22"/>
        </w:rPr>
        <w:t>114</w:t>
      </w:r>
      <w:r w:rsidRPr="008A482B">
        <w:rPr>
          <w:rFonts w:ascii="Arial" w:eastAsia="Arial Narrow" w:hAnsi="Arial" w:cs="Arial"/>
          <w:color w:val="000000"/>
          <w:sz w:val="22"/>
          <w:szCs w:val="22"/>
        </w:rPr>
        <w:t xml:space="preserve"> de 2022 Cámara. </w:t>
      </w:r>
    </w:p>
    <w:p w14:paraId="78478D87" w14:textId="77777777" w:rsidR="00D05BE6" w:rsidRPr="008A482B" w:rsidRDefault="00D05BE6" w:rsidP="00F07255">
      <w:pPr>
        <w:jc w:val="both"/>
        <w:rPr>
          <w:rFonts w:ascii="Arial" w:eastAsia="Arial" w:hAnsi="Arial" w:cs="Arial"/>
          <w:color w:val="000000"/>
          <w:sz w:val="22"/>
          <w:szCs w:val="22"/>
        </w:rPr>
      </w:pPr>
    </w:p>
    <w:p w14:paraId="6C0D71D8" w14:textId="77777777" w:rsidR="00D05BE6" w:rsidRPr="008A482B" w:rsidRDefault="00D05BE6" w:rsidP="00F07255">
      <w:pPr>
        <w:jc w:val="both"/>
        <w:rPr>
          <w:rFonts w:ascii="Arial" w:eastAsia="Arial" w:hAnsi="Arial" w:cs="Arial"/>
          <w:color w:val="000000"/>
          <w:sz w:val="22"/>
          <w:szCs w:val="22"/>
        </w:rPr>
      </w:pPr>
    </w:p>
    <w:p w14:paraId="5AD56AC5" w14:textId="176617ED" w:rsidR="00D05BE6" w:rsidRPr="008A482B" w:rsidRDefault="00185503" w:rsidP="00F07255">
      <w:pPr>
        <w:jc w:val="both"/>
        <w:rPr>
          <w:rFonts w:ascii="Arial" w:eastAsia="Arial" w:hAnsi="Arial" w:cs="Arial"/>
          <w:color w:val="000000"/>
          <w:sz w:val="22"/>
          <w:szCs w:val="22"/>
        </w:rPr>
      </w:pPr>
      <w:r w:rsidRPr="008A482B">
        <w:rPr>
          <w:rFonts w:ascii="Arial" w:eastAsia="Arial" w:hAnsi="Arial" w:cs="Arial"/>
          <w:color w:val="000000"/>
          <w:sz w:val="22"/>
          <w:szCs w:val="22"/>
        </w:rPr>
        <w:t>Respetado Representante Wills,</w:t>
      </w:r>
    </w:p>
    <w:p w14:paraId="3DEDFC1B" w14:textId="77777777" w:rsidR="00D05BE6" w:rsidRPr="008A482B" w:rsidRDefault="00D05BE6" w:rsidP="00F07255">
      <w:pPr>
        <w:jc w:val="both"/>
        <w:rPr>
          <w:rFonts w:ascii="Arial" w:eastAsia="Arial" w:hAnsi="Arial" w:cs="Arial"/>
          <w:color w:val="000000"/>
          <w:sz w:val="22"/>
          <w:szCs w:val="22"/>
        </w:rPr>
      </w:pPr>
    </w:p>
    <w:p w14:paraId="2CC0A7BB" w14:textId="0323DA64" w:rsidR="00D05BE6" w:rsidRPr="008A482B" w:rsidRDefault="00D05BE6" w:rsidP="00F07255">
      <w:pPr>
        <w:jc w:val="both"/>
        <w:rPr>
          <w:rFonts w:ascii="Arial" w:eastAsia="Arial" w:hAnsi="Arial" w:cs="Arial"/>
          <w:color w:val="000000"/>
          <w:sz w:val="22"/>
          <w:szCs w:val="22"/>
        </w:rPr>
      </w:pPr>
      <w:r w:rsidRPr="008A482B">
        <w:rPr>
          <w:rFonts w:ascii="Arial" w:eastAsia="Arial" w:hAnsi="Arial" w:cs="Arial"/>
          <w:color w:val="000000"/>
          <w:sz w:val="22"/>
          <w:szCs w:val="22"/>
        </w:rPr>
        <w:t>En cumplimiento de</w:t>
      </w:r>
      <w:r w:rsidR="00873136" w:rsidRPr="008A482B">
        <w:rPr>
          <w:rFonts w:ascii="Arial" w:eastAsia="Arial" w:hAnsi="Arial" w:cs="Arial"/>
          <w:color w:val="000000"/>
          <w:sz w:val="22"/>
          <w:szCs w:val="22"/>
        </w:rPr>
        <w:t>l</w:t>
      </w:r>
      <w:r w:rsidRPr="008A482B">
        <w:rPr>
          <w:rFonts w:ascii="Arial" w:eastAsia="Arial" w:hAnsi="Arial" w:cs="Arial"/>
          <w:color w:val="000000"/>
          <w:sz w:val="22"/>
          <w:szCs w:val="22"/>
        </w:rPr>
        <w:t xml:space="preserve"> </w:t>
      </w:r>
      <w:r w:rsidR="00873136" w:rsidRPr="008A482B">
        <w:rPr>
          <w:rFonts w:ascii="Arial" w:eastAsia="Arial" w:hAnsi="Arial" w:cs="Arial"/>
          <w:color w:val="000000"/>
          <w:sz w:val="22"/>
          <w:szCs w:val="22"/>
        </w:rPr>
        <w:t>encargo hecho por la Honorable Mes</w:t>
      </w:r>
      <w:r w:rsidRPr="008A482B">
        <w:rPr>
          <w:rFonts w:ascii="Arial" w:eastAsia="Arial" w:hAnsi="Arial" w:cs="Arial"/>
          <w:color w:val="000000"/>
          <w:sz w:val="22"/>
          <w:szCs w:val="22"/>
        </w:rPr>
        <w:t>a</w:t>
      </w:r>
      <w:r w:rsidR="00873136" w:rsidRPr="008A482B">
        <w:rPr>
          <w:rFonts w:ascii="Arial" w:eastAsia="Arial" w:hAnsi="Arial" w:cs="Arial"/>
          <w:color w:val="000000"/>
          <w:sz w:val="22"/>
          <w:szCs w:val="22"/>
        </w:rPr>
        <w:t xml:space="preserve"> Directiva de la Comisión Primera Constitucional a</w:t>
      </w:r>
      <w:r w:rsidRPr="008A482B">
        <w:rPr>
          <w:rFonts w:ascii="Arial" w:eastAsia="Arial" w:hAnsi="Arial" w:cs="Arial"/>
          <w:color w:val="000000"/>
          <w:sz w:val="22"/>
          <w:szCs w:val="22"/>
        </w:rPr>
        <w:t xml:space="preserve"> través de la nota </w:t>
      </w:r>
      <w:r w:rsidR="00185503" w:rsidRPr="008A482B">
        <w:rPr>
          <w:rFonts w:ascii="Arial" w:eastAsia="Arial" w:hAnsi="Arial" w:cs="Arial"/>
          <w:color w:val="000000"/>
          <w:sz w:val="22"/>
          <w:szCs w:val="22"/>
        </w:rPr>
        <w:t>interna No. C.P.C.P. 3.1 – 0</w:t>
      </w:r>
      <w:r w:rsidR="0099685D" w:rsidRPr="008A482B">
        <w:rPr>
          <w:rFonts w:ascii="Arial" w:eastAsia="Arial" w:hAnsi="Arial" w:cs="Arial"/>
          <w:color w:val="000000"/>
          <w:sz w:val="22"/>
          <w:szCs w:val="22"/>
        </w:rPr>
        <w:t>209</w:t>
      </w:r>
      <w:r w:rsidRPr="008A482B">
        <w:rPr>
          <w:rFonts w:ascii="Arial" w:eastAsia="Arial" w:hAnsi="Arial" w:cs="Arial"/>
          <w:color w:val="000000"/>
          <w:sz w:val="22"/>
          <w:szCs w:val="22"/>
        </w:rPr>
        <w:t xml:space="preserve"> – 2022 del </w:t>
      </w:r>
      <w:r w:rsidR="000B1BAA" w:rsidRPr="008A482B">
        <w:rPr>
          <w:rFonts w:ascii="Arial" w:eastAsia="Arial" w:hAnsi="Arial" w:cs="Arial"/>
          <w:color w:val="000000"/>
          <w:sz w:val="22"/>
          <w:szCs w:val="22"/>
        </w:rPr>
        <w:t>9</w:t>
      </w:r>
      <w:r w:rsidR="00185503" w:rsidRPr="008A482B">
        <w:rPr>
          <w:rFonts w:ascii="Arial" w:eastAsia="Arial" w:hAnsi="Arial" w:cs="Arial"/>
          <w:color w:val="000000"/>
          <w:sz w:val="22"/>
          <w:szCs w:val="22"/>
        </w:rPr>
        <w:t xml:space="preserve"> de</w:t>
      </w:r>
      <w:r w:rsidR="0099685D" w:rsidRPr="008A482B">
        <w:rPr>
          <w:rFonts w:ascii="Arial" w:eastAsia="Arial" w:hAnsi="Arial" w:cs="Arial"/>
          <w:color w:val="000000"/>
          <w:sz w:val="22"/>
          <w:szCs w:val="22"/>
        </w:rPr>
        <w:t>l 06 de septiembre</w:t>
      </w:r>
      <w:r w:rsidR="00185503" w:rsidRPr="008A482B">
        <w:rPr>
          <w:rFonts w:ascii="Arial" w:eastAsia="Arial" w:hAnsi="Arial" w:cs="Arial"/>
          <w:color w:val="000000"/>
          <w:sz w:val="22"/>
          <w:szCs w:val="22"/>
        </w:rPr>
        <w:t xml:space="preserve"> d</w:t>
      </w:r>
      <w:r w:rsidRPr="008A482B">
        <w:rPr>
          <w:rFonts w:ascii="Arial" w:eastAsia="Arial" w:hAnsi="Arial" w:cs="Arial"/>
          <w:color w:val="000000"/>
          <w:sz w:val="22"/>
          <w:szCs w:val="22"/>
        </w:rPr>
        <w:t>e 2022, y en atención a lo establecido en los artículos 150, 153 y 156 de la Ley 5 de 1992, me permito rendir informe de Ponencia para Primer Debate al</w:t>
      </w:r>
      <w:r w:rsidR="00185503" w:rsidRPr="008A482B">
        <w:rPr>
          <w:rFonts w:ascii="Arial" w:eastAsia="Arial" w:hAnsi="Arial" w:cs="Arial"/>
          <w:b/>
          <w:color w:val="000000"/>
          <w:sz w:val="22"/>
          <w:szCs w:val="22"/>
        </w:rPr>
        <w:t xml:space="preserve"> </w:t>
      </w:r>
      <w:r w:rsidR="00185503" w:rsidRPr="008A482B">
        <w:rPr>
          <w:rFonts w:ascii="Arial" w:eastAsia="Arial" w:hAnsi="Arial" w:cs="Arial"/>
          <w:color w:val="000000"/>
          <w:sz w:val="22"/>
          <w:szCs w:val="22"/>
        </w:rPr>
        <w:t xml:space="preserve">Proyecto de </w:t>
      </w:r>
      <w:r w:rsidR="004443E4" w:rsidRPr="008A482B">
        <w:rPr>
          <w:rFonts w:ascii="Arial" w:eastAsia="Arial" w:hAnsi="Arial" w:cs="Arial"/>
          <w:color w:val="000000"/>
          <w:sz w:val="22"/>
          <w:szCs w:val="22"/>
        </w:rPr>
        <w:t>Ley</w:t>
      </w:r>
      <w:r w:rsidR="00185503" w:rsidRPr="008A482B">
        <w:rPr>
          <w:rFonts w:ascii="Arial" w:eastAsia="Arial" w:hAnsi="Arial" w:cs="Arial"/>
          <w:color w:val="000000"/>
          <w:sz w:val="22"/>
          <w:szCs w:val="22"/>
        </w:rPr>
        <w:t xml:space="preserve"> </w:t>
      </w:r>
      <w:r w:rsidR="00207F73" w:rsidRPr="008A482B">
        <w:rPr>
          <w:rFonts w:ascii="Arial" w:eastAsia="Arial" w:hAnsi="Arial" w:cs="Arial"/>
          <w:color w:val="000000"/>
          <w:sz w:val="22"/>
          <w:szCs w:val="22"/>
        </w:rPr>
        <w:t>N.º</w:t>
      </w:r>
      <w:r w:rsidR="00185503" w:rsidRPr="008A482B">
        <w:rPr>
          <w:rFonts w:ascii="Arial" w:eastAsia="Arial" w:hAnsi="Arial" w:cs="Arial"/>
          <w:color w:val="000000"/>
          <w:sz w:val="22"/>
          <w:szCs w:val="22"/>
        </w:rPr>
        <w:t xml:space="preserve"> </w:t>
      </w:r>
      <w:r w:rsidR="004443E4" w:rsidRPr="008A482B">
        <w:rPr>
          <w:rFonts w:ascii="Arial" w:eastAsia="Arial" w:hAnsi="Arial" w:cs="Arial"/>
          <w:color w:val="000000"/>
          <w:sz w:val="22"/>
          <w:szCs w:val="22"/>
        </w:rPr>
        <w:t>114</w:t>
      </w:r>
      <w:r w:rsidR="00185503" w:rsidRPr="008A482B">
        <w:rPr>
          <w:rFonts w:ascii="Arial" w:eastAsia="Arial" w:hAnsi="Arial" w:cs="Arial"/>
          <w:color w:val="000000"/>
          <w:sz w:val="22"/>
          <w:szCs w:val="22"/>
        </w:rPr>
        <w:t xml:space="preserve"> de 2022 Cámara,</w:t>
      </w:r>
      <w:r w:rsidR="004443E4" w:rsidRPr="008A482B">
        <w:rPr>
          <w:rFonts w:ascii="Arial" w:hAnsi="Arial" w:cs="Arial"/>
          <w:sz w:val="22"/>
          <w:szCs w:val="22"/>
        </w:rPr>
        <w:t xml:space="preserve"> </w:t>
      </w:r>
      <w:r w:rsidR="004443E4" w:rsidRPr="008A482B">
        <w:rPr>
          <w:rFonts w:ascii="Arial" w:eastAsia="Arial" w:hAnsi="Arial" w:cs="Arial"/>
          <w:color w:val="000000"/>
          <w:sz w:val="22"/>
          <w:szCs w:val="22"/>
        </w:rPr>
        <w:t>“Por la cual se declara la imprescriptibilidad de la acción penal para los homicidios contra los integrantes de la Fuerza Pública</w:t>
      </w:r>
      <w:r w:rsidR="000B1BAA" w:rsidRPr="008A482B">
        <w:rPr>
          <w:rFonts w:ascii="Arial" w:eastAsia="Arial" w:hAnsi="Arial" w:cs="Arial"/>
          <w:i/>
          <w:color w:val="000000"/>
          <w:sz w:val="22"/>
          <w:szCs w:val="22"/>
        </w:rPr>
        <w:t>”</w:t>
      </w:r>
      <w:r w:rsidRPr="008A482B">
        <w:rPr>
          <w:rFonts w:ascii="Arial" w:eastAsia="Arial" w:hAnsi="Arial" w:cs="Arial"/>
          <w:color w:val="000000"/>
          <w:sz w:val="22"/>
          <w:szCs w:val="22"/>
        </w:rPr>
        <w:t>,</w:t>
      </w:r>
      <w:r w:rsidRPr="008A482B">
        <w:rPr>
          <w:rFonts w:ascii="Arial" w:eastAsia="Arial" w:hAnsi="Arial" w:cs="Arial"/>
          <w:b/>
          <w:color w:val="000000"/>
          <w:sz w:val="22"/>
          <w:szCs w:val="22"/>
        </w:rPr>
        <w:t xml:space="preserve"> </w:t>
      </w:r>
      <w:r w:rsidRPr="008A482B">
        <w:rPr>
          <w:rFonts w:ascii="Arial" w:eastAsia="Arial" w:hAnsi="Arial" w:cs="Arial"/>
          <w:color w:val="000000"/>
          <w:sz w:val="22"/>
          <w:szCs w:val="22"/>
        </w:rPr>
        <w:t>en los siguientes términos:</w:t>
      </w:r>
    </w:p>
    <w:p w14:paraId="18FB24A1" w14:textId="77777777" w:rsidR="00760917" w:rsidRPr="008A482B" w:rsidRDefault="00760917" w:rsidP="00F07255">
      <w:pPr>
        <w:jc w:val="both"/>
        <w:rPr>
          <w:rFonts w:ascii="Arial" w:eastAsia="Arial" w:hAnsi="Arial" w:cs="Arial"/>
          <w:color w:val="000000"/>
          <w:sz w:val="22"/>
          <w:szCs w:val="22"/>
        </w:rPr>
      </w:pPr>
    </w:p>
    <w:p w14:paraId="79A0AF35" w14:textId="77777777" w:rsidR="0078289B" w:rsidRPr="008A482B" w:rsidRDefault="0078289B" w:rsidP="00F07255">
      <w:pPr>
        <w:jc w:val="both"/>
        <w:rPr>
          <w:rFonts w:ascii="Arial" w:eastAsia="Arial" w:hAnsi="Arial" w:cs="Arial"/>
          <w:color w:val="000000"/>
          <w:sz w:val="22"/>
          <w:szCs w:val="22"/>
        </w:rPr>
      </w:pPr>
    </w:p>
    <w:p w14:paraId="3AAF95A7" w14:textId="228F5B1F" w:rsidR="00D05BE6" w:rsidRPr="008A482B" w:rsidRDefault="00760917">
      <w:pPr>
        <w:numPr>
          <w:ilvl w:val="0"/>
          <w:numId w:val="1"/>
        </w:numPr>
        <w:jc w:val="both"/>
        <w:rPr>
          <w:rFonts w:ascii="Arial" w:eastAsia="Arial" w:hAnsi="Arial" w:cs="Arial"/>
          <w:b/>
          <w:color w:val="000000"/>
          <w:sz w:val="22"/>
          <w:szCs w:val="22"/>
        </w:rPr>
      </w:pPr>
      <w:r w:rsidRPr="008A482B">
        <w:rPr>
          <w:rFonts w:ascii="Arial" w:eastAsia="Arial" w:hAnsi="Arial" w:cs="Arial"/>
          <w:b/>
          <w:color w:val="000000"/>
          <w:sz w:val="22"/>
          <w:szCs w:val="22"/>
        </w:rPr>
        <w:t>TRÁMITE DE LA INICIATIVA</w:t>
      </w:r>
      <w:r w:rsidR="008A482B" w:rsidRPr="008A482B">
        <w:rPr>
          <w:rFonts w:ascii="Arial" w:eastAsia="Arial" w:hAnsi="Arial" w:cs="Arial"/>
          <w:b/>
          <w:color w:val="000000"/>
          <w:sz w:val="22"/>
          <w:szCs w:val="22"/>
        </w:rPr>
        <w:t xml:space="preserve"> Y ANTECEDENTES DEL PROCESO</w:t>
      </w:r>
    </w:p>
    <w:p w14:paraId="6550FB43" w14:textId="6EC42276" w:rsidR="000C3575" w:rsidRPr="008A482B" w:rsidRDefault="000C3575" w:rsidP="00F07255">
      <w:pPr>
        <w:jc w:val="both"/>
        <w:rPr>
          <w:rFonts w:ascii="Arial" w:eastAsia="Arial" w:hAnsi="Arial" w:cs="Arial"/>
          <w:b/>
          <w:color w:val="000000"/>
          <w:sz w:val="22"/>
          <w:szCs w:val="22"/>
        </w:rPr>
      </w:pPr>
    </w:p>
    <w:p w14:paraId="10B75FF2" w14:textId="67DD680E" w:rsidR="008A482B" w:rsidRPr="008A482B" w:rsidRDefault="00EF2E00" w:rsidP="00F07255">
      <w:pPr>
        <w:jc w:val="both"/>
        <w:rPr>
          <w:rFonts w:ascii="Arial" w:eastAsia="Arial" w:hAnsi="Arial" w:cs="Arial"/>
          <w:sz w:val="22"/>
          <w:szCs w:val="22"/>
        </w:rPr>
      </w:pPr>
      <w:r w:rsidRPr="008A482B">
        <w:rPr>
          <w:rFonts w:ascii="Arial" w:hAnsi="Arial" w:cs="Arial"/>
          <w:sz w:val="22"/>
          <w:szCs w:val="22"/>
        </w:rPr>
        <w:t xml:space="preserve">El </w:t>
      </w:r>
      <w:r w:rsidR="00207F73" w:rsidRPr="008A482B">
        <w:rPr>
          <w:rFonts w:ascii="Arial" w:eastAsia="Arial" w:hAnsi="Arial" w:cs="Arial"/>
          <w:color w:val="000000"/>
          <w:sz w:val="22"/>
          <w:szCs w:val="22"/>
        </w:rPr>
        <w:t xml:space="preserve">Proyecto de Ley N.º </w:t>
      </w:r>
      <w:r w:rsidR="004443E4" w:rsidRPr="008A482B">
        <w:rPr>
          <w:rFonts w:ascii="Arial" w:eastAsia="Arial" w:hAnsi="Arial" w:cs="Arial"/>
          <w:color w:val="000000"/>
          <w:sz w:val="22"/>
          <w:szCs w:val="22"/>
        </w:rPr>
        <w:t>114</w:t>
      </w:r>
      <w:r w:rsidR="00207F73" w:rsidRPr="008A482B">
        <w:rPr>
          <w:rFonts w:ascii="Arial" w:eastAsia="Arial" w:hAnsi="Arial" w:cs="Arial"/>
          <w:color w:val="000000"/>
          <w:sz w:val="22"/>
          <w:szCs w:val="22"/>
        </w:rPr>
        <w:t xml:space="preserve"> de 2022 Cámara, </w:t>
      </w:r>
      <w:r w:rsidR="004443E4" w:rsidRPr="008A482B">
        <w:rPr>
          <w:rFonts w:ascii="Arial" w:eastAsia="Arial" w:hAnsi="Arial" w:cs="Arial"/>
          <w:i/>
          <w:color w:val="000000"/>
          <w:sz w:val="22"/>
          <w:szCs w:val="22"/>
        </w:rPr>
        <w:t>“Por la cual se declara la imprescriptibilidad de la acción penal para los homicidios contra los integrantes de la Fuerza Pública”</w:t>
      </w:r>
      <w:r w:rsidR="00207F73" w:rsidRPr="008A482B">
        <w:rPr>
          <w:rFonts w:ascii="Arial" w:eastAsia="Arial" w:hAnsi="Arial" w:cs="Arial"/>
          <w:color w:val="000000"/>
          <w:sz w:val="22"/>
          <w:szCs w:val="22"/>
        </w:rPr>
        <w:t>,</w:t>
      </w:r>
      <w:r w:rsidR="0078289B" w:rsidRPr="008A482B">
        <w:rPr>
          <w:rFonts w:ascii="Arial" w:hAnsi="Arial" w:cs="Arial"/>
          <w:i/>
          <w:sz w:val="22"/>
          <w:szCs w:val="22"/>
        </w:rPr>
        <w:t xml:space="preserve"> </w:t>
      </w:r>
      <w:r w:rsidRPr="008A482B">
        <w:rPr>
          <w:rFonts w:ascii="Arial" w:hAnsi="Arial" w:cs="Arial"/>
          <w:sz w:val="22"/>
          <w:szCs w:val="22"/>
        </w:rPr>
        <w:t xml:space="preserve">fue radicado el </w:t>
      </w:r>
      <w:r w:rsidR="004443E4" w:rsidRPr="008A482B">
        <w:rPr>
          <w:rFonts w:ascii="Arial" w:hAnsi="Arial" w:cs="Arial"/>
          <w:sz w:val="22"/>
          <w:szCs w:val="22"/>
        </w:rPr>
        <w:t xml:space="preserve">05 </w:t>
      </w:r>
      <w:r w:rsidRPr="008A482B">
        <w:rPr>
          <w:rFonts w:ascii="Arial" w:hAnsi="Arial" w:cs="Arial"/>
          <w:sz w:val="22"/>
          <w:szCs w:val="22"/>
        </w:rPr>
        <w:t xml:space="preserve">de </w:t>
      </w:r>
      <w:r w:rsidR="004443E4" w:rsidRPr="008A482B">
        <w:rPr>
          <w:rFonts w:ascii="Arial" w:hAnsi="Arial" w:cs="Arial"/>
          <w:sz w:val="22"/>
          <w:szCs w:val="22"/>
        </w:rPr>
        <w:t>agosto</w:t>
      </w:r>
      <w:r w:rsidRPr="008A482B">
        <w:rPr>
          <w:rFonts w:ascii="Arial" w:hAnsi="Arial" w:cs="Arial"/>
          <w:sz w:val="22"/>
          <w:szCs w:val="22"/>
        </w:rPr>
        <w:t xml:space="preserve"> de 2022</w:t>
      </w:r>
      <w:r w:rsidR="007B234D" w:rsidRPr="008A482B">
        <w:rPr>
          <w:rFonts w:ascii="Arial" w:hAnsi="Arial" w:cs="Arial"/>
          <w:sz w:val="22"/>
          <w:szCs w:val="22"/>
        </w:rPr>
        <w:t xml:space="preserve"> ante la Secretaría General de la Cámara de Representantes</w:t>
      </w:r>
      <w:r w:rsidRPr="008A482B">
        <w:rPr>
          <w:rFonts w:ascii="Arial" w:hAnsi="Arial" w:cs="Arial"/>
          <w:sz w:val="22"/>
          <w:szCs w:val="22"/>
        </w:rPr>
        <w:t xml:space="preserve"> por parte de</w:t>
      </w:r>
      <w:r w:rsidR="00207F73" w:rsidRPr="008A482B">
        <w:rPr>
          <w:rFonts w:ascii="Arial" w:hAnsi="Arial" w:cs="Arial"/>
          <w:sz w:val="22"/>
          <w:szCs w:val="22"/>
        </w:rPr>
        <w:t xml:space="preserve"> l</w:t>
      </w:r>
      <w:r w:rsidR="004443E4" w:rsidRPr="008A482B">
        <w:rPr>
          <w:rFonts w:ascii="Arial" w:hAnsi="Arial" w:cs="Arial"/>
          <w:sz w:val="22"/>
          <w:szCs w:val="22"/>
        </w:rPr>
        <w:t>os</w:t>
      </w:r>
      <w:r w:rsidR="00207F73" w:rsidRPr="008A482B">
        <w:rPr>
          <w:rFonts w:ascii="Arial" w:hAnsi="Arial" w:cs="Arial"/>
          <w:sz w:val="22"/>
          <w:szCs w:val="22"/>
        </w:rPr>
        <w:t xml:space="preserve"> </w:t>
      </w:r>
      <w:r w:rsidRPr="008A482B">
        <w:rPr>
          <w:rFonts w:ascii="Arial" w:hAnsi="Arial" w:cs="Arial"/>
          <w:sz w:val="22"/>
          <w:szCs w:val="22"/>
        </w:rPr>
        <w:t>Honorable</w:t>
      </w:r>
      <w:r w:rsidR="004443E4" w:rsidRPr="008A482B">
        <w:rPr>
          <w:rFonts w:ascii="Arial" w:hAnsi="Arial" w:cs="Arial"/>
          <w:sz w:val="22"/>
          <w:szCs w:val="22"/>
        </w:rPr>
        <w:t>s</w:t>
      </w:r>
      <w:r w:rsidRPr="008A482B">
        <w:rPr>
          <w:rFonts w:ascii="Arial" w:hAnsi="Arial" w:cs="Arial"/>
          <w:sz w:val="22"/>
          <w:szCs w:val="22"/>
        </w:rPr>
        <w:t xml:space="preserve"> Senador</w:t>
      </w:r>
      <w:r w:rsidR="004443E4" w:rsidRPr="008A482B">
        <w:rPr>
          <w:rFonts w:ascii="Arial" w:hAnsi="Arial" w:cs="Arial"/>
          <w:sz w:val="22"/>
          <w:szCs w:val="22"/>
        </w:rPr>
        <w:t xml:space="preserve">es Paloma Susana Valencia Laserna, Miguel Uribe Turbay, Enrique Cabrales Baquero, Andrés Felipe Guerra Hoyos, </w:t>
      </w:r>
      <w:proofErr w:type="spellStart"/>
      <w:r w:rsidR="004443E4" w:rsidRPr="008A482B">
        <w:rPr>
          <w:rFonts w:ascii="Arial" w:hAnsi="Arial" w:cs="Arial"/>
          <w:sz w:val="22"/>
          <w:szCs w:val="22"/>
        </w:rPr>
        <w:t>Maria</w:t>
      </w:r>
      <w:proofErr w:type="spellEnd"/>
      <w:r w:rsidR="004443E4" w:rsidRPr="008A482B">
        <w:rPr>
          <w:rFonts w:ascii="Arial" w:hAnsi="Arial" w:cs="Arial"/>
          <w:sz w:val="22"/>
          <w:szCs w:val="22"/>
        </w:rPr>
        <w:t xml:space="preserve"> Fernanda Cabal Molina, José Vicente Carreño Castro, Esteban Quintero Cardona, Paola Andrea Holguín Moreno y los Honorables Representantes José Jaime </w:t>
      </w:r>
      <w:proofErr w:type="spellStart"/>
      <w:r w:rsidR="004443E4" w:rsidRPr="008A482B">
        <w:rPr>
          <w:rFonts w:ascii="Arial" w:hAnsi="Arial" w:cs="Arial"/>
          <w:sz w:val="22"/>
          <w:szCs w:val="22"/>
        </w:rPr>
        <w:t>Uscátegui</w:t>
      </w:r>
      <w:proofErr w:type="spellEnd"/>
      <w:r w:rsidR="004443E4" w:rsidRPr="008A482B">
        <w:rPr>
          <w:rFonts w:ascii="Arial" w:hAnsi="Arial" w:cs="Arial"/>
          <w:sz w:val="22"/>
          <w:szCs w:val="22"/>
        </w:rPr>
        <w:t xml:space="preserve"> Pastrana, Hernán Darío Cadavid Márquez, Miguel Abraham Polo </w:t>
      </w:r>
      <w:proofErr w:type="spellStart"/>
      <w:r w:rsidR="004443E4" w:rsidRPr="008A482B">
        <w:rPr>
          <w:rFonts w:ascii="Arial" w:hAnsi="Arial" w:cs="Arial"/>
          <w:sz w:val="22"/>
          <w:szCs w:val="22"/>
        </w:rPr>
        <w:t>Polo</w:t>
      </w:r>
      <w:proofErr w:type="spellEnd"/>
      <w:r w:rsidR="004443E4" w:rsidRPr="008A482B">
        <w:rPr>
          <w:rFonts w:ascii="Arial" w:hAnsi="Arial" w:cs="Arial"/>
          <w:sz w:val="22"/>
          <w:szCs w:val="22"/>
        </w:rPr>
        <w:t xml:space="preserve">, Eduard Alexis Triana Rincón, Oscar Leonardo Villamizar Meneses, Juan Fernando Espinal Ramírez, Óscar Darío Pérez Pineda, Juan Felipe Corzo Álvarez, Christian Munir Garcés Aljure, </w:t>
      </w:r>
      <w:proofErr w:type="spellStart"/>
      <w:r w:rsidR="004443E4" w:rsidRPr="008A482B">
        <w:rPr>
          <w:rFonts w:ascii="Arial" w:hAnsi="Arial" w:cs="Arial"/>
          <w:sz w:val="22"/>
          <w:szCs w:val="22"/>
        </w:rPr>
        <w:t>Edinson</w:t>
      </w:r>
      <w:proofErr w:type="spellEnd"/>
      <w:r w:rsidR="004443E4" w:rsidRPr="008A482B">
        <w:rPr>
          <w:rFonts w:ascii="Arial" w:hAnsi="Arial" w:cs="Arial"/>
          <w:sz w:val="22"/>
          <w:szCs w:val="22"/>
        </w:rPr>
        <w:t xml:space="preserve"> Vladimir Olaya Mancipe, </w:t>
      </w:r>
      <w:proofErr w:type="spellStart"/>
      <w:r w:rsidR="004443E4" w:rsidRPr="008A482B">
        <w:rPr>
          <w:rFonts w:ascii="Arial" w:hAnsi="Arial" w:cs="Arial"/>
          <w:sz w:val="22"/>
          <w:szCs w:val="22"/>
        </w:rPr>
        <w:t>Olmes</w:t>
      </w:r>
      <w:proofErr w:type="spellEnd"/>
      <w:r w:rsidR="004443E4" w:rsidRPr="008A482B">
        <w:rPr>
          <w:rFonts w:ascii="Arial" w:hAnsi="Arial" w:cs="Arial"/>
          <w:sz w:val="22"/>
          <w:szCs w:val="22"/>
        </w:rPr>
        <w:t xml:space="preserve"> de Jesús Echavarría de la Rosa, Andrés Eduardo Forero Molina, Juan Carlos </w:t>
      </w:r>
      <w:proofErr w:type="spellStart"/>
      <w:r w:rsidR="004443E4" w:rsidRPr="008A482B">
        <w:rPr>
          <w:rFonts w:ascii="Arial" w:hAnsi="Arial" w:cs="Arial"/>
          <w:sz w:val="22"/>
          <w:szCs w:val="22"/>
        </w:rPr>
        <w:t>Wills</w:t>
      </w:r>
      <w:proofErr w:type="spellEnd"/>
      <w:r w:rsidR="004443E4" w:rsidRPr="008A482B">
        <w:rPr>
          <w:rFonts w:ascii="Arial" w:hAnsi="Arial" w:cs="Arial"/>
          <w:sz w:val="22"/>
          <w:szCs w:val="22"/>
        </w:rPr>
        <w:t xml:space="preserve"> Ospina, Hugo Danilo Lozano Pimiento</w:t>
      </w:r>
      <w:r w:rsidR="00FF3FA0" w:rsidRPr="008A482B">
        <w:rPr>
          <w:rFonts w:ascii="Arial" w:hAnsi="Arial" w:cs="Arial"/>
          <w:sz w:val="22"/>
          <w:szCs w:val="22"/>
        </w:rPr>
        <w:t xml:space="preserve">, </w:t>
      </w:r>
      <w:r w:rsidR="007B234D" w:rsidRPr="008A482B">
        <w:rPr>
          <w:rFonts w:ascii="Arial" w:eastAsia="Times New Roman" w:hAnsi="Arial" w:cs="Arial"/>
          <w:sz w:val="22"/>
          <w:szCs w:val="22"/>
        </w:rPr>
        <w:t>remitido por competencia para iniciar su trámite a la Comisión Primera Constitucional de la Cámara de Representante</w:t>
      </w:r>
      <w:r w:rsidR="008A482B" w:rsidRPr="008A482B">
        <w:rPr>
          <w:rFonts w:ascii="Arial" w:eastAsia="Times New Roman" w:hAnsi="Arial" w:cs="Arial"/>
          <w:sz w:val="22"/>
          <w:szCs w:val="22"/>
        </w:rPr>
        <w:t>s.</w:t>
      </w:r>
      <w:r w:rsidR="007B234D" w:rsidRPr="008A482B">
        <w:rPr>
          <w:rFonts w:ascii="Arial" w:eastAsia="Times New Roman" w:hAnsi="Arial" w:cs="Arial"/>
          <w:sz w:val="22"/>
          <w:szCs w:val="22"/>
        </w:rPr>
        <w:t xml:space="preserve"> </w:t>
      </w:r>
      <w:r w:rsidR="004443E4" w:rsidRPr="008A482B">
        <w:rPr>
          <w:rFonts w:ascii="Arial" w:eastAsia="Times New Roman" w:hAnsi="Arial" w:cs="Arial"/>
          <w:sz w:val="22"/>
          <w:szCs w:val="22"/>
        </w:rPr>
        <w:t xml:space="preserve">El </w:t>
      </w:r>
      <w:r w:rsidR="00207F73" w:rsidRPr="008A482B">
        <w:rPr>
          <w:rFonts w:ascii="Arial" w:eastAsia="Times New Roman" w:hAnsi="Arial" w:cs="Arial"/>
          <w:sz w:val="22"/>
          <w:szCs w:val="22"/>
        </w:rPr>
        <w:t>29</w:t>
      </w:r>
      <w:r w:rsidR="007B234D" w:rsidRPr="008A482B">
        <w:rPr>
          <w:rFonts w:ascii="Arial" w:eastAsia="Times New Roman" w:hAnsi="Arial" w:cs="Arial"/>
          <w:sz w:val="22"/>
          <w:szCs w:val="22"/>
        </w:rPr>
        <w:t xml:space="preserve"> de </w:t>
      </w:r>
      <w:r w:rsidR="004443E4" w:rsidRPr="008A482B">
        <w:rPr>
          <w:rFonts w:ascii="Arial" w:eastAsia="Times New Roman" w:hAnsi="Arial" w:cs="Arial"/>
          <w:sz w:val="22"/>
          <w:szCs w:val="22"/>
        </w:rPr>
        <w:t xml:space="preserve">septiembre </w:t>
      </w:r>
      <w:r w:rsidR="007B234D" w:rsidRPr="008A482B">
        <w:rPr>
          <w:rFonts w:ascii="Arial" w:eastAsia="Times New Roman" w:hAnsi="Arial" w:cs="Arial"/>
          <w:sz w:val="22"/>
          <w:szCs w:val="22"/>
        </w:rPr>
        <w:t xml:space="preserve">de 2022 </w:t>
      </w:r>
      <w:r w:rsidR="007B234D" w:rsidRPr="008A482B">
        <w:rPr>
          <w:rFonts w:ascii="Arial" w:eastAsia="Arial" w:hAnsi="Arial" w:cs="Arial"/>
          <w:sz w:val="22"/>
          <w:szCs w:val="22"/>
        </w:rPr>
        <w:t xml:space="preserve">a través de la nota interna No. C.P.C.P. 3.1 – </w:t>
      </w:r>
      <w:r w:rsidR="0078289B" w:rsidRPr="008A482B">
        <w:rPr>
          <w:rFonts w:ascii="Arial" w:eastAsia="Arial" w:hAnsi="Arial" w:cs="Arial"/>
          <w:sz w:val="22"/>
          <w:szCs w:val="22"/>
        </w:rPr>
        <w:t>0</w:t>
      </w:r>
      <w:r w:rsidR="004443E4" w:rsidRPr="008A482B">
        <w:rPr>
          <w:rFonts w:ascii="Arial" w:eastAsia="Arial" w:hAnsi="Arial" w:cs="Arial"/>
          <w:sz w:val="22"/>
          <w:szCs w:val="22"/>
        </w:rPr>
        <w:t>209</w:t>
      </w:r>
      <w:r w:rsidR="007B234D" w:rsidRPr="008A482B">
        <w:rPr>
          <w:rFonts w:ascii="Arial" w:eastAsia="Arial" w:hAnsi="Arial" w:cs="Arial"/>
          <w:sz w:val="22"/>
          <w:szCs w:val="22"/>
        </w:rPr>
        <w:t xml:space="preserve"> – 2022 fui designado como ponente</w:t>
      </w:r>
      <w:r w:rsidR="00207F73" w:rsidRPr="008A482B">
        <w:rPr>
          <w:rFonts w:ascii="Arial" w:eastAsia="Arial" w:hAnsi="Arial" w:cs="Arial"/>
          <w:sz w:val="22"/>
          <w:szCs w:val="22"/>
        </w:rPr>
        <w:t xml:space="preserve"> único</w:t>
      </w:r>
      <w:r w:rsidR="007B234D" w:rsidRPr="008A482B">
        <w:rPr>
          <w:rFonts w:ascii="Arial" w:eastAsia="Arial" w:hAnsi="Arial" w:cs="Arial"/>
          <w:sz w:val="22"/>
          <w:szCs w:val="22"/>
        </w:rPr>
        <w:t xml:space="preserve"> para primer debate.</w:t>
      </w:r>
      <w:r w:rsidR="004443E4" w:rsidRPr="008A482B">
        <w:rPr>
          <w:rFonts w:ascii="Arial" w:eastAsia="Arial" w:hAnsi="Arial" w:cs="Arial"/>
          <w:sz w:val="22"/>
          <w:szCs w:val="22"/>
        </w:rPr>
        <w:t xml:space="preserve"> El 14 de septiembre de 2022, se solicitó audiencia pública en la Comisión Primera Constitucional permanente de la Cámara de </w:t>
      </w:r>
      <w:r w:rsidR="004443E4" w:rsidRPr="008A482B">
        <w:rPr>
          <w:rFonts w:ascii="Arial" w:eastAsia="Arial" w:hAnsi="Arial" w:cs="Arial"/>
          <w:sz w:val="22"/>
          <w:szCs w:val="22"/>
        </w:rPr>
        <w:lastRenderedPageBreak/>
        <w:t xml:space="preserve">Representantes de conformidad con el numeral tercero del artículo 264 de la Ley 5 de </w:t>
      </w:r>
      <w:r w:rsidR="008A482B" w:rsidRPr="008A482B">
        <w:rPr>
          <w:rFonts w:ascii="Arial" w:eastAsia="Arial" w:hAnsi="Arial" w:cs="Arial"/>
          <w:sz w:val="22"/>
          <w:szCs w:val="22"/>
        </w:rPr>
        <w:t>1992, Proposición No. 13 aprobada en esa Célula Legislativa. Finalmente, el día 21 de noviembre de 2022 se realizó la audiencia pública.</w:t>
      </w:r>
    </w:p>
    <w:p w14:paraId="1ECFDA72" w14:textId="3CA93111" w:rsidR="00207F73" w:rsidRDefault="00207F73" w:rsidP="00F07255">
      <w:pPr>
        <w:jc w:val="both"/>
        <w:rPr>
          <w:rFonts w:ascii="Arial" w:eastAsia="Arial" w:hAnsi="Arial" w:cs="Arial"/>
          <w:bCs/>
          <w:color w:val="000000"/>
          <w:sz w:val="22"/>
          <w:szCs w:val="22"/>
        </w:rPr>
      </w:pPr>
    </w:p>
    <w:p w14:paraId="41CC2CA5" w14:textId="779832FE" w:rsidR="001165D4" w:rsidRDefault="001165D4" w:rsidP="00F07255">
      <w:pPr>
        <w:jc w:val="both"/>
        <w:rPr>
          <w:rFonts w:ascii="Arial" w:eastAsia="Arial" w:hAnsi="Arial" w:cs="Arial"/>
          <w:b/>
          <w:sz w:val="22"/>
          <w:szCs w:val="22"/>
        </w:rPr>
      </w:pPr>
      <w:r w:rsidRPr="009453AE">
        <w:rPr>
          <w:rFonts w:ascii="Arial" w:eastAsia="Arial" w:hAnsi="Arial" w:cs="Arial"/>
          <w:b/>
          <w:sz w:val="22"/>
          <w:szCs w:val="22"/>
        </w:rPr>
        <w:t>AUDIENCIA PÚBLICA</w:t>
      </w:r>
    </w:p>
    <w:p w14:paraId="24E91EFB" w14:textId="1E563B75" w:rsidR="009453AE" w:rsidRDefault="009453AE" w:rsidP="00F07255">
      <w:pPr>
        <w:jc w:val="both"/>
        <w:rPr>
          <w:rFonts w:ascii="Arial" w:eastAsia="Arial" w:hAnsi="Arial" w:cs="Arial"/>
          <w:b/>
          <w:sz w:val="22"/>
          <w:szCs w:val="22"/>
        </w:rPr>
      </w:pPr>
    </w:p>
    <w:p w14:paraId="617ADF9D" w14:textId="77777777" w:rsidR="00DA2729" w:rsidRPr="00DA2729" w:rsidRDefault="00C16D43" w:rsidP="00F07255">
      <w:pPr>
        <w:jc w:val="both"/>
        <w:rPr>
          <w:rFonts w:ascii="Arial" w:eastAsia="Arial" w:hAnsi="Arial" w:cs="Arial"/>
          <w:bCs/>
          <w:sz w:val="22"/>
          <w:szCs w:val="22"/>
        </w:rPr>
      </w:pPr>
      <w:r w:rsidRPr="00C16D43">
        <w:rPr>
          <w:rFonts w:ascii="Arial" w:eastAsia="Arial" w:hAnsi="Arial" w:cs="Arial"/>
          <w:bCs/>
          <w:sz w:val="22"/>
          <w:szCs w:val="22"/>
        </w:rPr>
        <w:t>En</w:t>
      </w:r>
      <w:r w:rsidR="00DA2729">
        <w:rPr>
          <w:rFonts w:ascii="Arial" w:eastAsia="Arial" w:hAnsi="Arial" w:cs="Arial"/>
          <w:bCs/>
          <w:sz w:val="22"/>
          <w:szCs w:val="22"/>
        </w:rPr>
        <w:t xml:space="preserve"> aras de escuchar a la ciudadanía, a las instituciones civiles, a los miembros de la Fuerza Pública y a las diferentes instituciones del Estado interesadas en la materia, se citó a</w:t>
      </w:r>
      <w:r w:rsidRPr="00C16D43">
        <w:rPr>
          <w:rFonts w:ascii="Arial" w:eastAsia="Arial" w:hAnsi="Arial" w:cs="Arial"/>
          <w:bCs/>
          <w:sz w:val="22"/>
          <w:szCs w:val="22"/>
        </w:rPr>
        <w:t xml:space="preserve"> audiencia pública </w:t>
      </w:r>
      <w:r w:rsidR="00DA2729">
        <w:rPr>
          <w:rFonts w:ascii="Arial" w:eastAsia="Arial" w:hAnsi="Arial" w:cs="Arial"/>
          <w:bCs/>
          <w:sz w:val="22"/>
          <w:szCs w:val="22"/>
        </w:rPr>
        <w:t xml:space="preserve">para discutir el presente proyecto de ley. En la misma se </w:t>
      </w:r>
      <w:r w:rsidR="002456BE">
        <w:rPr>
          <w:rFonts w:ascii="Arial" w:eastAsia="Arial" w:hAnsi="Arial" w:cs="Arial"/>
          <w:bCs/>
          <w:sz w:val="22"/>
          <w:szCs w:val="22"/>
        </w:rPr>
        <w:t>presentaron diferentes puntos de vista y diversas intervenciones relevantes</w:t>
      </w:r>
      <w:r w:rsidR="00DA2729">
        <w:rPr>
          <w:rFonts w:ascii="Arial" w:eastAsia="Arial" w:hAnsi="Arial" w:cs="Arial"/>
          <w:bCs/>
          <w:sz w:val="22"/>
          <w:szCs w:val="22"/>
        </w:rPr>
        <w:t xml:space="preserve"> para la ilustración de la </w:t>
      </w:r>
      <w:r w:rsidR="00DA2729" w:rsidRPr="00DA2729">
        <w:rPr>
          <w:rFonts w:ascii="Arial" w:eastAsia="Arial" w:hAnsi="Arial" w:cs="Arial"/>
          <w:bCs/>
          <w:sz w:val="22"/>
          <w:szCs w:val="22"/>
        </w:rPr>
        <w:t>iniciativa en cuestión</w:t>
      </w:r>
      <w:r w:rsidR="002456BE" w:rsidRPr="00DA2729">
        <w:rPr>
          <w:rFonts w:ascii="Arial" w:eastAsia="Arial" w:hAnsi="Arial" w:cs="Arial"/>
          <w:bCs/>
          <w:sz w:val="22"/>
          <w:szCs w:val="22"/>
        </w:rPr>
        <w:t xml:space="preserve">. </w:t>
      </w:r>
    </w:p>
    <w:p w14:paraId="7F4B53D6" w14:textId="77777777" w:rsidR="00DA2729" w:rsidRPr="00DA2729" w:rsidRDefault="00DA2729" w:rsidP="00F07255">
      <w:pPr>
        <w:jc w:val="both"/>
        <w:rPr>
          <w:rFonts w:ascii="Arial" w:eastAsia="Arial" w:hAnsi="Arial" w:cs="Arial"/>
          <w:bCs/>
          <w:sz w:val="22"/>
          <w:szCs w:val="22"/>
        </w:rPr>
      </w:pPr>
    </w:p>
    <w:p w14:paraId="6D33BAC9" w14:textId="08AF547A" w:rsidR="009453AE" w:rsidRDefault="00DA2729" w:rsidP="00DA2729">
      <w:pPr>
        <w:pStyle w:val="Prrafodelista"/>
        <w:numPr>
          <w:ilvl w:val="0"/>
          <w:numId w:val="18"/>
        </w:numPr>
        <w:jc w:val="both"/>
        <w:rPr>
          <w:rFonts w:ascii="Arial" w:eastAsia="Arial" w:hAnsi="Arial" w:cs="Arial"/>
          <w:bCs/>
          <w:i/>
          <w:iCs/>
          <w:sz w:val="22"/>
          <w:szCs w:val="22"/>
        </w:rPr>
      </w:pPr>
      <w:r w:rsidRPr="008273BB">
        <w:rPr>
          <w:rFonts w:ascii="Arial" w:eastAsia="Arial" w:hAnsi="Arial" w:cs="Arial"/>
          <w:bCs/>
          <w:i/>
          <w:iCs/>
          <w:sz w:val="22"/>
          <w:szCs w:val="22"/>
        </w:rPr>
        <w:t xml:space="preserve">Intervención </w:t>
      </w:r>
      <w:r w:rsidR="008273BB" w:rsidRPr="008273BB">
        <w:rPr>
          <w:rFonts w:ascii="Arial" w:eastAsia="Arial" w:hAnsi="Arial" w:cs="Arial"/>
          <w:bCs/>
          <w:i/>
          <w:iCs/>
          <w:sz w:val="22"/>
          <w:szCs w:val="22"/>
        </w:rPr>
        <w:t xml:space="preserve">de la </w:t>
      </w:r>
      <w:r w:rsidRPr="008273BB">
        <w:rPr>
          <w:rFonts w:ascii="Arial" w:eastAsia="Arial" w:hAnsi="Arial" w:cs="Arial"/>
          <w:bCs/>
          <w:i/>
          <w:iCs/>
          <w:sz w:val="22"/>
          <w:szCs w:val="22"/>
        </w:rPr>
        <w:t>General María Paulina Leguizamón</w:t>
      </w:r>
      <w:r w:rsidR="008273BB" w:rsidRPr="008273BB">
        <w:rPr>
          <w:rFonts w:ascii="Arial" w:eastAsia="Arial" w:hAnsi="Arial" w:cs="Arial"/>
          <w:bCs/>
          <w:i/>
          <w:iCs/>
          <w:sz w:val="22"/>
          <w:szCs w:val="22"/>
        </w:rPr>
        <w:t xml:space="preserve"> en representación del Comandante General de las Fuerzas Militares, Mayor General Helder </w:t>
      </w:r>
      <w:proofErr w:type="spellStart"/>
      <w:r w:rsidR="008273BB" w:rsidRPr="008273BB">
        <w:rPr>
          <w:rFonts w:ascii="Arial" w:eastAsia="Arial" w:hAnsi="Arial" w:cs="Arial"/>
          <w:bCs/>
          <w:i/>
          <w:iCs/>
          <w:sz w:val="22"/>
          <w:szCs w:val="22"/>
        </w:rPr>
        <w:t>Fernan</w:t>
      </w:r>
      <w:proofErr w:type="spellEnd"/>
      <w:r w:rsidR="008273BB" w:rsidRPr="008273BB">
        <w:rPr>
          <w:rFonts w:ascii="Arial" w:eastAsia="Arial" w:hAnsi="Arial" w:cs="Arial"/>
          <w:bCs/>
          <w:i/>
          <w:iCs/>
          <w:sz w:val="22"/>
          <w:szCs w:val="22"/>
        </w:rPr>
        <w:t xml:space="preserve"> Giraldo Bonilla. </w:t>
      </w:r>
    </w:p>
    <w:p w14:paraId="49488BB6" w14:textId="20DD89CF" w:rsidR="008273BB" w:rsidRDefault="008273BB" w:rsidP="007C7E24">
      <w:pPr>
        <w:pStyle w:val="Prrafodelista"/>
        <w:jc w:val="both"/>
        <w:rPr>
          <w:rFonts w:ascii="Arial" w:eastAsia="Arial" w:hAnsi="Arial" w:cs="Arial"/>
          <w:bCs/>
          <w:sz w:val="22"/>
          <w:szCs w:val="22"/>
        </w:rPr>
      </w:pPr>
      <w:r>
        <w:rPr>
          <w:rFonts w:ascii="Arial" w:eastAsia="Arial" w:hAnsi="Arial" w:cs="Arial"/>
          <w:bCs/>
          <w:sz w:val="22"/>
          <w:szCs w:val="22"/>
        </w:rPr>
        <w:t>Recordó la General Leguizamón que los miembros de la Fuerza Pública son personas humanas revestidas de todos los derechos humanos</w:t>
      </w:r>
      <w:r w:rsidR="009F0544">
        <w:rPr>
          <w:rFonts w:ascii="Arial" w:eastAsia="Arial" w:hAnsi="Arial" w:cs="Arial"/>
          <w:bCs/>
          <w:sz w:val="22"/>
          <w:szCs w:val="22"/>
        </w:rPr>
        <w:t xml:space="preserve"> y también hacen parte del centro del ordenamiento jurídico. La Corte Constitucional ha enunciado que los miembros de la Fuerza Pública no se agotan como servidores </w:t>
      </w:r>
      <w:r w:rsidR="00E957D3">
        <w:rPr>
          <w:rFonts w:ascii="Arial" w:eastAsia="Arial" w:hAnsi="Arial" w:cs="Arial"/>
          <w:bCs/>
          <w:sz w:val="22"/>
          <w:szCs w:val="22"/>
        </w:rPr>
        <w:t>públicos,</w:t>
      </w:r>
      <w:r w:rsidR="009F0544">
        <w:rPr>
          <w:rFonts w:ascii="Arial" w:eastAsia="Arial" w:hAnsi="Arial" w:cs="Arial"/>
          <w:bCs/>
          <w:sz w:val="22"/>
          <w:szCs w:val="22"/>
        </w:rPr>
        <w:t xml:space="preserve"> sino que ante todo se trata de personas, en ese orden de ideas, atentar contra la vida de un miembro de la Fuerza Pública no se concreta en la simple lesión de un valor institucional</w:t>
      </w:r>
      <w:r w:rsidR="00E957D3">
        <w:rPr>
          <w:rFonts w:ascii="Arial" w:eastAsia="Arial" w:hAnsi="Arial" w:cs="Arial"/>
          <w:bCs/>
          <w:sz w:val="22"/>
          <w:szCs w:val="22"/>
        </w:rPr>
        <w:t>,</w:t>
      </w:r>
      <w:r w:rsidR="009F0544">
        <w:rPr>
          <w:rFonts w:ascii="Arial" w:eastAsia="Arial" w:hAnsi="Arial" w:cs="Arial"/>
          <w:bCs/>
          <w:sz w:val="22"/>
          <w:szCs w:val="22"/>
        </w:rPr>
        <w:t xml:space="preserve"> sino en la lesión a todo un sistema integral</w:t>
      </w:r>
      <w:r w:rsidR="00E957D3">
        <w:rPr>
          <w:rFonts w:ascii="Arial" w:eastAsia="Arial" w:hAnsi="Arial" w:cs="Arial"/>
          <w:bCs/>
          <w:sz w:val="22"/>
          <w:szCs w:val="22"/>
        </w:rPr>
        <w:t xml:space="preserve">. Sumado a lo anterior, recordó la General algunos precedentes importantes de la Corte Constitucional: </w:t>
      </w:r>
      <w:r w:rsidR="007C7E24">
        <w:rPr>
          <w:rFonts w:ascii="Arial" w:eastAsia="Arial" w:hAnsi="Arial" w:cs="Arial"/>
          <w:bCs/>
          <w:sz w:val="22"/>
          <w:szCs w:val="22"/>
        </w:rPr>
        <w:t>S</w:t>
      </w:r>
      <w:r w:rsidR="00E957D3">
        <w:rPr>
          <w:rFonts w:ascii="Arial" w:eastAsia="Arial" w:hAnsi="Arial" w:cs="Arial"/>
          <w:bCs/>
          <w:sz w:val="22"/>
          <w:szCs w:val="22"/>
        </w:rPr>
        <w:t xml:space="preserve">entencia </w:t>
      </w:r>
      <w:r w:rsidR="007C7E24">
        <w:rPr>
          <w:rFonts w:ascii="Arial" w:eastAsia="Arial" w:hAnsi="Arial" w:cs="Arial"/>
          <w:bCs/>
          <w:sz w:val="22"/>
          <w:szCs w:val="22"/>
        </w:rPr>
        <w:t>C-580 de 2002, C-370 de 2006, SU-312 de 2020</w:t>
      </w:r>
      <w:r w:rsidR="00F67E86">
        <w:rPr>
          <w:rFonts w:ascii="Arial" w:eastAsia="Arial" w:hAnsi="Arial" w:cs="Arial"/>
          <w:bCs/>
          <w:sz w:val="22"/>
          <w:szCs w:val="22"/>
        </w:rPr>
        <w:t xml:space="preserve"> y </w:t>
      </w:r>
      <w:r w:rsidR="007C7E24">
        <w:rPr>
          <w:rFonts w:ascii="Arial" w:eastAsia="Arial" w:hAnsi="Arial" w:cs="Arial"/>
          <w:bCs/>
          <w:sz w:val="22"/>
          <w:szCs w:val="22"/>
        </w:rPr>
        <w:t xml:space="preserve">C-422 de 2021. En dichos precedentes se enuncian los derechos a la justicia, la verdad, la reparación y a </w:t>
      </w:r>
      <w:r w:rsidR="007C7E24" w:rsidRPr="007C7E24">
        <w:rPr>
          <w:rFonts w:ascii="Arial" w:eastAsia="Arial" w:hAnsi="Arial" w:cs="Arial"/>
          <w:bCs/>
          <w:sz w:val="22"/>
          <w:szCs w:val="22"/>
        </w:rPr>
        <w:t xml:space="preserve">la erradicación de la impunidad. Lo último cobra gran relevancia para los miembros de la Fuerza Pública </w:t>
      </w:r>
      <w:r w:rsidR="007C7E24">
        <w:rPr>
          <w:rFonts w:ascii="Arial" w:eastAsia="Arial" w:hAnsi="Arial" w:cs="Arial"/>
          <w:bCs/>
          <w:sz w:val="22"/>
          <w:szCs w:val="22"/>
        </w:rPr>
        <w:t>porque a través de una investigación exhaustiva, con el fin de juzgar a los responsables de la conducta objeto de reproche, se hacen realidad los derechos que se pregonan de la dignidad de la persona humana de militares y policías. También, se contribuye</w:t>
      </w:r>
      <w:r w:rsidR="004C6B00">
        <w:rPr>
          <w:rFonts w:ascii="Arial" w:eastAsia="Arial" w:hAnsi="Arial" w:cs="Arial"/>
          <w:bCs/>
          <w:sz w:val="22"/>
          <w:szCs w:val="22"/>
        </w:rPr>
        <w:t xml:space="preserve"> a la solución de las enormes dificultades que se presentan durante la persecución y el juzgamiento de ciertos delitos y el cumplimiento de las obligaciones internacionales respecto de la investigación, juzgamiento y sanción</w:t>
      </w:r>
      <w:r w:rsidR="00FD4F70">
        <w:rPr>
          <w:rFonts w:ascii="Arial" w:eastAsia="Arial" w:hAnsi="Arial" w:cs="Arial"/>
          <w:bCs/>
          <w:sz w:val="22"/>
          <w:szCs w:val="22"/>
        </w:rPr>
        <w:t xml:space="preserve"> de los mismos</w:t>
      </w:r>
      <w:r w:rsidR="004C6B00">
        <w:rPr>
          <w:rFonts w:ascii="Arial" w:eastAsia="Arial" w:hAnsi="Arial" w:cs="Arial"/>
          <w:bCs/>
          <w:sz w:val="22"/>
          <w:szCs w:val="22"/>
        </w:rPr>
        <w:t xml:space="preserve">. </w:t>
      </w:r>
    </w:p>
    <w:p w14:paraId="6DFC7B93" w14:textId="77777777" w:rsidR="003A12F5" w:rsidRDefault="003A12F5" w:rsidP="007C7E24">
      <w:pPr>
        <w:pStyle w:val="Prrafodelista"/>
        <w:jc w:val="both"/>
        <w:rPr>
          <w:rFonts w:ascii="Arial" w:eastAsia="Arial" w:hAnsi="Arial" w:cs="Arial"/>
          <w:bCs/>
          <w:sz w:val="22"/>
          <w:szCs w:val="22"/>
        </w:rPr>
      </w:pPr>
    </w:p>
    <w:p w14:paraId="4B98C267" w14:textId="38923575" w:rsidR="003A12F5" w:rsidRDefault="003A12F5" w:rsidP="003A12F5">
      <w:pPr>
        <w:pStyle w:val="Prrafodelista"/>
        <w:numPr>
          <w:ilvl w:val="0"/>
          <w:numId w:val="18"/>
        </w:numPr>
        <w:jc w:val="both"/>
        <w:rPr>
          <w:rFonts w:ascii="Arial" w:eastAsia="Arial" w:hAnsi="Arial" w:cs="Arial"/>
          <w:bCs/>
          <w:i/>
          <w:iCs/>
          <w:sz w:val="22"/>
          <w:szCs w:val="22"/>
        </w:rPr>
      </w:pPr>
      <w:r w:rsidRPr="00596AB8">
        <w:rPr>
          <w:rFonts w:ascii="Arial" w:eastAsia="Arial" w:hAnsi="Arial" w:cs="Arial"/>
          <w:bCs/>
          <w:i/>
          <w:iCs/>
          <w:sz w:val="22"/>
          <w:szCs w:val="22"/>
        </w:rPr>
        <w:t xml:space="preserve">Intervención </w:t>
      </w:r>
      <w:r w:rsidR="00B0163A" w:rsidRPr="00596AB8">
        <w:rPr>
          <w:rFonts w:ascii="Arial" w:eastAsia="Arial" w:hAnsi="Arial" w:cs="Arial"/>
          <w:bCs/>
          <w:i/>
          <w:iCs/>
          <w:sz w:val="22"/>
          <w:szCs w:val="22"/>
        </w:rPr>
        <w:t>del Viceministro de Defensa</w:t>
      </w:r>
      <w:r w:rsidR="00596AB8" w:rsidRPr="00596AB8">
        <w:rPr>
          <w:rFonts w:ascii="Arial" w:eastAsia="Arial" w:hAnsi="Arial" w:cs="Arial"/>
          <w:bCs/>
          <w:i/>
          <w:iCs/>
          <w:sz w:val="22"/>
          <w:szCs w:val="22"/>
        </w:rPr>
        <w:t xml:space="preserve"> Alberto Lara</w:t>
      </w:r>
    </w:p>
    <w:p w14:paraId="5C198A77" w14:textId="78C22ED3" w:rsidR="00596AB8" w:rsidRDefault="009D2017" w:rsidP="00596AB8">
      <w:pPr>
        <w:pStyle w:val="Prrafodelista"/>
        <w:jc w:val="both"/>
        <w:rPr>
          <w:rFonts w:ascii="Arial" w:eastAsia="Arial" w:hAnsi="Arial" w:cs="Arial"/>
          <w:bCs/>
          <w:sz w:val="22"/>
          <w:szCs w:val="22"/>
        </w:rPr>
      </w:pPr>
      <w:r>
        <w:rPr>
          <w:rFonts w:ascii="Arial" w:eastAsia="Arial" w:hAnsi="Arial" w:cs="Arial"/>
          <w:bCs/>
          <w:sz w:val="22"/>
          <w:szCs w:val="22"/>
        </w:rPr>
        <w:t xml:space="preserve">Recordó el viceministro que desde el gobierno nacional repudian, rechazan y condenan cualquier afectación a la vida de los miembros de la Fuerza Pública. También señala que frente al proyecto de ley se tienen inquietudes de carácter constitucional, en tanto la imprescriptibilidad de la investigación y la sanción es una excepción que permite la Corte Constitucional y la Carta Política. La sentencia C-422 de 2021 estableció que le está vedado al legislador expedir normativa que autorice la imprescriptibilidad de la pena, sin embargo, trazó algunas reglas o condiciones que el </w:t>
      </w:r>
      <w:r w:rsidR="000D6D50">
        <w:rPr>
          <w:rFonts w:ascii="Arial" w:eastAsia="Arial" w:hAnsi="Arial" w:cs="Arial"/>
          <w:bCs/>
          <w:sz w:val="22"/>
          <w:szCs w:val="22"/>
        </w:rPr>
        <w:t>C</w:t>
      </w:r>
      <w:r>
        <w:rPr>
          <w:rFonts w:ascii="Arial" w:eastAsia="Arial" w:hAnsi="Arial" w:cs="Arial"/>
          <w:bCs/>
          <w:sz w:val="22"/>
          <w:szCs w:val="22"/>
        </w:rPr>
        <w:t>ongreso debe observar cuando de imprescriptibilidad de la acción penal se trata: (i</w:t>
      </w:r>
      <w:bookmarkStart w:id="0" w:name="_Hlk121830400"/>
      <w:r>
        <w:rPr>
          <w:rFonts w:ascii="Arial" w:eastAsia="Arial" w:hAnsi="Arial" w:cs="Arial"/>
          <w:bCs/>
          <w:sz w:val="22"/>
          <w:szCs w:val="22"/>
        </w:rPr>
        <w:t xml:space="preserve">) la imprescriptibilidad de la acción penal </w:t>
      </w:r>
      <w:bookmarkEnd w:id="0"/>
      <w:r>
        <w:rPr>
          <w:rFonts w:ascii="Arial" w:eastAsia="Arial" w:hAnsi="Arial" w:cs="Arial"/>
          <w:bCs/>
          <w:sz w:val="22"/>
          <w:szCs w:val="22"/>
        </w:rPr>
        <w:t>resulta conforme a la Carta Política siempre y cuando no se haya vinculado a la persona al proceso a través de indagatoria</w:t>
      </w:r>
      <w:r w:rsidR="00176193">
        <w:rPr>
          <w:rFonts w:ascii="Arial" w:eastAsia="Arial" w:hAnsi="Arial" w:cs="Arial"/>
          <w:bCs/>
          <w:sz w:val="22"/>
          <w:szCs w:val="22"/>
        </w:rPr>
        <w:t>, (</w:t>
      </w:r>
      <w:proofErr w:type="spellStart"/>
      <w:r w:rsidR="00176193">
        <w:rPr>
          <w:rFonts w:ascii="Arial" w:eastAsia="Arial" w:hAnsi="Arial" w:cs="Arial"/>
          <w:bCs/>
          <w:sz w:val="22"/>
          <w:szCs w:val="22"/>
        </w:rPr>
        <w:t>ii</w:t>
      </w:r>
      <w:proofErr w:type="spellEnd"/>
      <w:r w:rsidR="00176193">
        <w:rPr>
          <w:rFonts w:ascii="Arial" w:eastAsia="Arial" w:hAnsi="Arial" w:cs="Arial"/>
          <w:bCs/>
          <w:sz w:val="22"/>
          <w:szCs w:val="22"/>
        </w:rPr>
        <w:t>)</w:t>
      </w:r>
      <w:r w:rsidR="000A5B5F">
        <w:rPr>
          <w:rFonts w:ascii="Arial" w:eastAsia="Arial" w:hAnsi="Arial" w:cs="Arial"/>
          <w:bCs/>
          <w:sz w:val="22"/>
          <w:szCs w:val="22"/>
        </w:rPr>
        <w:t xml:space="preserve"> la imprescriptibilidad de la acción penal resulta constitucionalmente admisibl</w:t>
      </w:r>
      <w:r w:rsidR="00EF46F6">
        <w:rPr>
          <w:rFonts w:ascii="Arial" w:eastAsia="Arial" w:hAnsi="Arial" w:cs="Arial"/>
          <w:bCs/>
          <w:sz w:val="22"/>
          <w:szCs w:val="22"/>
        </w:rPr>
        <w:t>e dependiendo del valor de los bienes jurídicos que se pretenden proteger como en el caso de los delitos de competencia de la Corte Penal Internacional</w:t>
      </w:r>
      <w:r w:rsidR="004132CE">
        <w:rPr>
          <w:rFonts w:ascii="Arial" w:eastAsia="Arial" w:hAnsi="Arial" w:cs="Arial"/>
          <w:bCs/>
          <w:sz w:val="22"/>
          <w:szCs w:val="22"/>
        </w:rPr>
        <w:t xml:space="preserve">, </w:t>
      </w:r>
      <w:r w:rsidR="00EF46F6">
        <w:rPr>
          <w:rFonts w:ascii="Arial" w:eastAsia="Arial" w:hAnsi="Arial" w:cs="Arial"/>
          <w:bCs/>
          <w:sz w:val="22"/>
          <w:szCs w:val="22"/>
        </w:rPr>
        <w:t>(</w:t>
      </w:r>
      <w:proofErr w:type="spellStart"/>
      <w:r w:rsidR="00EF46F6">
        <w:rPr>
          <w:rFonts w:ascii="Arial" w:eastAsia="Arial" w:hAnsi="Arial" w:cs="Arial"/>
          <w:bCs/>
          <w:sz w:val="22"/>
          <w:szCs w:val="22"/>
        </w:rPr>
        <w:t>iii</w:t>
      </w:r>
      <w:proofErr w:type="spellEnd"/>
      <w:r w:rsidR="00EF46F6">
        <w:rPr>
          <w:rFonts w:ascii="Arial" w:eastAsia="Arial" w:hAnsi="Arial" w:cs="Arial"/>
          <w:bCs/>
          <w:sz w:val="22"/>
          <w:szCs w:val="22"/>
        </w:rPr>
        <w:t>) la prescripción de la acción penal no puede concebirse como un mecanismo de protección frente a la libertad personal y (</w:t>
      </w:r>
      <w:proofErr w:type="spellStart"/>
      <w:r w:rsidR="00EF46F6">
        <w:rPr>
          <w:rFonts w:ascii="Arial" w:eastAsia="Arial" w:hAnsi="Arial" w:cs="Arial"/>
          <w:bCs/>
          <w:sz w:val="22"/>
          <w:szCs w:val="22"/>
        </w:rPr>
        <w:t>iv</w:t>
      </w:r>
      <w:proofErr w:type="spellEnd"/>
      <w:r w:rsidR="00EF46F6">
        <w:rPr>
          <w:rFonts w:ascii="Arial" w:eastAsia="Arial" w:hAnsi="Arial" w:cs="Arial"/>
          <w:bCs/>
          <w:sz w:val="22"/>
          <w:szCs w:val="22"/>
        </w:rPr>
        <w:t xml:space="preserve">) debe existir en su motivación estricta justificación constitucional. En el marco del presente proyecto, </w:t>
      </w:r>
      <w:r w:rsidR="00EF46F6">
        <w:rPr>
          <w:rFonts w:ascii="Arial" w:eastAsia="Arial" w:hAnsi="Arial" w:cs="Arial"/>
          <w:bCs/>
          <w:sz w:val="22"/>
          <w:szCs w:val="22"/>
        </w:rPr>
        <w:lastRenderedPageBreak/>
        <w:t>los objetivos que se buscan alcanzar con el mismo, son precisamente los que determinó la Corte Constitucional cuando declaró exequible la imprescriptibilidad en crímenes de lesa humanidad y crímenes de guerra;</w:t>
      </w:r>
      <w:r w:rsidR="004132CE">
        <w:rPr>
          <w:rFonts w:ascii="Arial" w:eastAsia="Arial" w:hAnsi="Arial" w:cs="Arial"/>
          <w:bCs/>
          <w:sz w:val="22"/>
          <w:szCs w:val="22"/>
        </w:rPr>
        <w:t xml:space="preserve"> considera el viceministro </w:t>
      </w:r>
      <w:r w:rsidR="00326376">
        <w:rPr>
          <w:rFonts w:ascii="Arial" w:eastAsia="Arial" w:hAnsi="Arial" w:cs="Arial"/>
          <w:bCs/>
          <w:sz w:val="22"/>
          <w:szCs w:val="22"/>
        </w:rPr>
        <w:t>que trasladar</w:t>
      </w:r>
      <w:r w:rsidR="00EF46F6">
        <w:rPr>
          <w:rFonts w:ascii="Arial" w:eastAsia="Arial" w:hAnsi="Arial" w:cs="Arial"/>
          <w:bCs/>
          <w:sz w:val="22"/>
          <w:szCs w:val="22"/>
        </w:rPr>
        <w:t xml:space="preserve"> los fines protegidos y los juicios de necesidad propios de los </w:t>
      </w:r>
      <w:r w:rsidR="00326376">
        <w:rPr>
          <w:rFonts w:ascii="Arial" w:eastAsia="Arial" w:hAnsi="Arial" w:cs="Arial"/>
          <w:bCs/>
          <w:sz w:val="22"/>
          <w:szCs w:val="22"/>
        </w:rPr>
        <w:t xml:space="preserve">citados crímenes </w:t>
      </w:r>
      <w:r w:rsidR="00EF46F6">
        <w:rPr>
          <w:rFonts w:ascii="Arial" w:eastAsia="Arial" w:hAnsi="Arial" w:cs="Arial"/>
          <w:bCs/>
          <w:sz w:val="22"/>
          <w:szCs w:val="22"/>
        </w:rPr>
        <w:t>a todos los homicidios que se cometan en contra de los miembros de la Fuerza Pública puede ser un yerro constitucional</w:t>
      </w:r>
      <w:r w:rsidR="004132CE">
        <w:rPr>
          <w:rFonts w:ascii="Arial" w:eastAsia="Arial" w:hAnsi="Arial" w:cs="Arial"/>
          <w:bCs/>
          <w:sz w:val="22"/>
          <w:szCs w:val="22"/>
        </w:rPr>
        <w:t>.</w:t>
      </w:r>
      <w:r w:rsidR="007E1957">
        <w:rPr>
          <w:rFonts w:ascii="Arial" w:eastAsia="Arial" w:hAnsi="Arial" w:cs="Arial"/>
          <w:bCs/>
          <w:sz w:val="22"/>
          <w:szCs w:val="22"/>
        </w:rPr>
        <w:t xml:space="preserve"> Por último, recordó el viceministro que los crímenes de guerra y de lesa humanidad cometidos en contra de miembros de la Fuerza Pública ya son imprescriptibles atendiendo al ordenamiento jurídico</w:t>
      </w:r>
      <w:r w:rsidR="00CC21FD">
        <w:rPr>
          <w:rFonts w:ascii="Arial" w:eastAsia="Arial" w:hAnsi="Arial" w:cs="Arial"/>
          <w:bCs/>
          <w:sz w:val="22"/>
          <w:szCs w:val="22"/>
        </w:rPr>
        <w:t xml:space="preserve"> y a los protocolos internacionales</w:t>
      </w:r>
      <w:r w:rsidR="007E1957">
        <w:rPr>
          <w:rFonts w:ascii="Arial" w:eastAsia="Arial" w:hAnsi="Arial" w:cs="Arial"/>
          <w:bCs/>
          <w:sz w:val="22"/>
          <w:szCs w:val="22"/>
        </w:rPr>
        <w:t>.</w:t>
      </w:r>
    </w:p>
    <w:p w14:paraId="423B3864" w14:textId="309C76FD" w:rsidR="00656E92" w:rsidRDefault="00656E92" w:rsidP="00656E92">
      <w:pPr>
        <w:jc w:val="both"/>
        <w:rPr>
          <w:rFonts w:ascii="Arial" w:eastAsia="Arial" w:hAnsi="Arial" w:cs="Arial"/>
          <w:bCs/>
          <w:sz w:val="22"/>
          <w:szCs w:val="22"/>
        </w:rPr>
      </w:pPr>
    </w:p>
    <w:p w14:paraId="2E08490A" w14:textId="17D46C84" w:rsidR="001165D4" w:rsidRPr="0075407C" w:rsidRDefault="0075407C" w:rsidP="00260EC1">
      <w:pPr>
        <w:pStyle w:val="Prrafodelista"/>
        <w:numPr>
          <w:ilvl w:val="0"/>
          <w:numId w:val="18"/>
        </w:numPr>
        <w:jc w:val="both"/>
        <w:rPr>
          <w:rFonts w:ascii="Arial" w:eastAsia="Times New Roman" w:hAnsi="Arial" w:cs="Arial"/>
          <w:color w:val="000000"/>
          <w:sz w:val="22"/>
          <w:szCs w:val="22"/>
          <w:lang w:eastAsia="es-CO"/>
        </w:rPr>
      </w:pPr>
      <w:r>
        <w:rPr>
          <w:rFonts w:ascii="Arial" w:eastAsia="Arial" w:hAnsi="Arial" w:cs="Arial"/>
          <w:bCs/>
          <w:i/>
          <w:iCs/>
          <w:sz w:val="22"/>
          <w:szCs w:val="22"/>
        </w:rPr>
        <w:t xml:space="preserve">Intervención de la </w:t>
      </w:r>
      <w:proofErr w:type="gramStart"/>
      <w:r>
        <w:rPr>
          <w:rFonts w:ascii="Arial" w:eastAsia="Arial" w:hAnsi="Arial" w:cs="Arial"/>
          <w:bCs/>
          <w:i/>
          <w:iCs/>
          <w:sz w:val="22"/>
          <w:szCs w:val="22"/>
        </w:rPr>
        <w:t>Directora</w:t>
      </w:r>
      <w:proofErr w:type="gramEnd"/>
      <w:r>
        <w:rPr>
          <w:rFonts w:ascii="Arial" w:eastAsia="Arial" w:hAnsi="Arial" w:cs="Arial"/>
          <w:bCs/>
          <w:i/>
          <w:iCs/>
          <w:sz w:val="22"/>
          <w:szCs w:val="22"/>
        </w:rPr>
        <w:t xml:space="preserve"> de la Agencia Nacional de Defensa Jurídica</w:t>
      </w:r>
      <w:r w:rsidR="003719FB">
        <w:rPr>
          <w:rFonts w:ascii="Arial" w:eastAsia="Arial" w:hAnsi="Arial" w:cs="Arial"/>
          <w:bCs/>
          <w:i/>
          <w:iCs/>
          <w:sz w:val="22"/>
          <w:szCs w:val="22"/>
        </w:rPr>
        <w:t xml:space="preserve"> del Estado </w:t>
      </w:r>
      <w:r>
        <w:rPr>
          <w:rFonts w:ascii="Arial" w:eastAsia="Arial" w:hAnsi="Arial" w:cs="Arial"/>
          <w:bCs/>
          <w:i/>
          <w:iCs/>
          <w:sz w:val="22"/>
          <w:szCs w:val="22"/>
        </w:rPr>
        <w:t>Martha Lucia Zamora</w:t>
      </w:r>
    </w:p>
    <w:p w14:paraId="7CA5F41B" w14:textId="59AED32E" w:rsidR="00194E3C" w:rsidRPr="00194E3C" w:rsidRDefault="00EB34A8" w:rsidP="00194E3C">
      <w:pPr>
        <w:pStyle w:val="Prrafodelista"/>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 xml:space="preserve">La </w:t>
      </w:r>
      <w:proofErr w:type="gramStart"/>
      <w:r>
        <w:rPr>
          <w:rFonts w:ascii="Arial" w:eastAsia="Times New Roman" w:hAnsi="Arial" w:cs="Arial"/>
          <w:color w:val="000000"/>
          <w:sz w:val="22"/>
          <w:szCs w:val="22"/>
          <w:lang w:eastAsia="es-CO"/>
        </w:rPr>
        <w:t>Directora</w:t>
      </w:r>
      <w:proofErr w:type="gramEnd"/>
      <w:r>
        <w:rPr>
          <w:rFonts w:ascii="Arial" w:eastAsia="Times New Roman" w:hAnsi="Arial" w:cs="Arial"/>
          <w:color w:val="000000"/>
          <w:sz w:val="22"/>
          <w:szCs w:val="22"/>
          <w:lang w:eastAsia="es-CO"/>
        </w:rPr>
        <w:t xml:space="preserve"> recuerda precedentes de la Corte Constitucional que establecen la excepcionalidad de la imprescriptibilidad de la sanción penal. Son los delitos más graves, a saber, crímenes de lesa humanidad, de guerra y de genocidio aquellos que gozan de la excepcionalidad mencionada. La prescripción de la acción penal tiene una doble connotación importante de tener en cuenta </w:t>
      </w:r>
      <w:proofErr w:type="gramStart"/>
      <w:r>
        <w:rPr>
          <w:rFonts w:ascii="Arial" w:eastAsia="Times New Roman" w:hAnsi="Arial" w:cs="Arial"/>
          <w:color w:val="000000"/>
          <w:sz w:val="22"/>
          <w:szCs w:val="22"/>
          <w:lang w:eastAsia="es-CO"/>
        </w:rPr>
        <w:t>y</w:t>
      </w:r>
      <w:proofErr w:type="gramEnd"/>
      <w:r>
        <w:rPr>
          <w:rFonts w:ascii="Arial" w:eastAsia="Times New Roman" w:hAnsi="Arial" w:cs="Arial"/>
          <w:color w:val="000000"/>
          <w:sz w:val="22"/>
          <w:szCs w:val="22"/>
          <w:lang w:eastAsia="es-CO"/>
        </w:rPr>
        <w:t xml:space="preserve"> además, definir un delito como imprescriptible puede generar el efecto de postergar en el tiempo la investigación del mismo y evitar una mayor exigencia del resultado de aquella.  </w:t>
      </w:r>
    </w:p>
    <w:p w14:paraId="16BE4EF5" w14:textId="77777777" w:rsidR="00EB34A8" w:rsidRPr="0075407C" w:rsidRDefault="00EB34A8" w:rsidP="0075407C">
      <w:pPr>
        <w:pStyle w:val="Prrafodelista"/>
        <w:jc w:val="both"/>
        <w:rPr>
          <w:rFonts w:ascii="Arial" w:eastAsia="Times New Roman" w:hAnsi="Arial" w:cs="Arial"/>
          <w:color w:val="000000"/>
          <w:sz w:val="22"/>
          <w:szCs w:val="22"/>
          <w:lang w:eastAsia="es-CO"/>
        </w:rPr>
      </w:pPr>
    </w:p>
    <w:p w14:paraId="71127414" w14:textId="0FF4472F" w:rsidR="0075407C" w:rsidRDefault="00091611" w:rsidP="00260EC1">
      <w:pPr>
        <w:pStyle w:val="Prrafodelista"/>
        <w:numPr>
          <w:ilvl w:val="0"/>
          <w:numId w:val="18"/>
        </w:numPr>
        <w:jc w:val="both"/>
        <w:rPr>
          <w:rFonts w:ascii="Arial" w:eastAsia="Times New Roman" w:hAnsi="Arial" w:cs="Arial"/>
          <w:i/>
          <w:iCs/>
          <w:color w:val="000000"/>
          <w:sz w:val="22"/>
          <w:szCs w:val="22"/>
          <w:lang w:eastAsia="es-CO"/>
        </w:rPr>
      </w:pPr>
      <w:r w:rsidRPr="00091611">
        <w:rPr>
          <w:rFonts w:ascii="Arial" w:eastAsia="Times New Roman" w:hAnsi="Arial" w:cs="Arial"/>
          <w:i/>
          <w:iCs/>
          <w:color w:val="000000"/>
          <w:sz w:val="22"/>
          <w:szCs w:val="22"/>
          <w:lang w:eastAsia="es-CO"/>
        </w:rPr>
        <w:t xml:space="preserve">Intervención de Antonio José Ochoa </w:t>
      </w:r>
      <w:r>
        <w:rPr>
          <w:rFonts w:ascii="Arial" w:eastAsia="Times New Roman" w:hAnsi="Arial" w:cs="Arial"/>
          <w:i/>
          <w:iCs/>
          <w:color w:val="000000"/>
          <w:sz w:val="22"/>
          <w:szCs w:val="22"/>
          <w:lang w:eastAsia="es-CO"/>
        </w:rPr>
        <w:t xml:space="preserve">representante </w:t>
      </w:r>
      <w:r w:rsidRPr="00091611">
        <w:rPr>
          <w:rFonts w:ascii="Arial" w:eastAsia="Times New Roman" w:hAnsi="Arial" w:cs="Arial"/>
          <w:i/>
          <w:iCs/>
          <w:color w:val="000000"/>
          <w:sz w:val="22"/>
          <w:szCs w:val="22"/>
          <w:lang w:eastAsia="es-CO"/>
        </w:rPr>
        <w:t xml:space="preserve">de la fundación FUNVIDES </w:t>
      </w:r>
    </w:p>
    <w:p w14:paraId="295B99D0" w14:textId="73CB0CD9" w:rsidR="00091611" w:rsidRDefault="000F1543" w:rsidP="00091611">
      <w:pPr>
        <w:pStyle w:val="Prrafodelista"/>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 xml:space="preserve">El señor Ochoa enunció que FUNVIDES es una organización que representa a miembros de la Fuerza Pública que han sido víctimas del conflicto armado. La organización se ha especializado en representar a secuestrados y desaparecidos porque son crímenes que no prescriben, contrario a los homicidios no pueden ser llevados por la organización en el entendido de que en la mayoría de los casos la acción penal ya ha prescrito. La prescripción de la acción penal, tal como está consagrada en el ordenamiento jurídico colombiano, no es una sanción ni para el victimario ni para la víctima, es una sanción </w:t>
      </w:r>
      <w:r w:rsidR="005857A8">
        <w:rPr>
          <w:rFonts w:ascii="Arial" w:eastAsia="Times New Roman" w:hAnsi="Arial" w:cs="Arial"/>
          <w:color w:val="000000"/>
          <w:sz w:val="22"/>
          <w:szCs w:val="22"/>
          <w:lang w:eastAsia="es-CO"/>
        </w:rPr>
        <w:t>a</w:t>
      </w:r>
      <w:r>
        <w:rPr>
          <w:rFonts w:ascii="Arial" w:eastAsia="Times New Roman" w:hAnsi="Arial" w:cs="Arial"/>
          <w:color w:val="000000"/>
          <w:sz w:val="22"/>
          <w:szCs w:val="22"/>
          <w:lang w:eastAsia="es-CO"/>
        </w:rPr>
        <w:t xml:space="preserve"> la negligencia del Estado pues ya no podrá seguir persiguiendo al responsable de una conducta delictiva</w:t>
      </w:r>
      <w:r w:rsidR="005857A8">
        <w:rPr>
          <w:rFonts w:ascii="Arial" w:eastAsia="Times New Roman" w:hAnsi="Arial" w:cs="Arial"/>
          <w:color w:val="000000"/>
          <w:sz w:val="22"/>
          <w:szCs w:val="22"/>
          <w:lang w:eastAsia="es-CO"/>
        </w:rPr>
        <w:t>. A pesar de lo anterior, son las víctimas a las que les queda el dolor, no sólo del delito cometido, en este caso el homicidio de su familiar que era militar o policía, sino del no esclarecimiento de los hechos ocurridos.</w:t>
      </w:r>
    </w:p>
    <w:p w14:paraId="4FB8D3D9" w14:textId="00A3FEC8" w:rsidR="005857A8" w:rsidRDefault="005857A8" w:rsidP="00091611">
      <w:pPr>
        <w:pStyle w:val="Prrafodelista"/>
        <w:jc w:val="both"/>
        <w:rPr>
          <w:rFonts w:ascii="Arial" w:eastAsia="Times New Roman" w:hAnsi="Arial" w:cs="Arial"/>
          <w:color w:val="000000"/>
          <w:sz w:val="22"/>
          <w:szCs w:val="22"/>
          <w:lang w:eastAsia="es-CO"/>
        </w:rPr>
      </w:pPr>
    </w:p>
    <w:p w14:paraId="2E71F50E" w14:textId="27717187" w:rsidR="005857A8" w:rsidRDefault="005857A8" w:rsidP="00C36BA2">
      <w:pPr>
        <w:pStyle w:val="Prrafodelista"/>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 xml:space="preserve">Sumado a lo anterior, en cuanto a los militares que han sido víctimas de infracciones al DIH en el marco del conflicto armado, enuncia el señor Ochoa que desde la experiencia de FUNVIDES, como la organización que más representa víctimas de la Fuerza Pública, se </w:t>
      </w:r>
      <w:r w:rsidRPr="005857A8">
        <w:rPr>
          <w:rFonts w:ascii="Arial" w:eastAsia="Times New Roman" w:hAnsi="Arial" w:cs="Arial"/>
          <w:color w:val="000000"/>
          <w:sz w:val="22"/>
          <w:szCs w:val="22"/>
          <w:lang w:eastAsia="es-CO"/>
        </w:rPr>
        <w:t xml:space="preserve">ha </w:t>
      </w:r>
      <w:r>
        <w:rPr>
          <w:rFonts w:ascii="Arial" w:eastAsia="Times New Roman" w:hAnsi="Arial" w:cs="Arial"/>
          <w:color w:val="000000"/>
          <w:sz w:val="22"/>
          <w:szCs w:val="22"/>
          <w:lang w:eastAsia="es-CO"/>
        </w:rPr>
        <w:t xml:space="preserve">encontrado que </w:t>
      </w:r>
      <w:r w:rsidRPr="005857A8">
        <w:rPr>
          <w:rFonts w:ascii="Arial" w:eastAsia="Times New Roman" w:hAnsi="Arial" w:cs="Arial"/>
          <w:color w:val="000000"/>
          <w:sz w:val="22"/>
          <w:szCs w:val="22"/>
          <w:lang w:eastAsia="es-CO"/>
        </w:rPr>
        <w:t xml:space="preserve">determinar </w:t>
      </w:r>
      <w:r w:rsidR="00C36BA2">
        <w:rPr>
          <w:rFonts w:ascii="Arial" w:eastAsia="Times New Roman" w:hAnsi="Arial" w:cs="Arial"/>
          <w:color w:val="000000"/>
          <w:sz w:val="22"/>
          <w:szCs w:val="22"/>
          <w:lang w:eastAsia="es-CO"/>
        </w:rPr>
        <w:t>si una conducta</w:t>
      </w:r>
      <w:r>
        <w:rPr>
          <w:rFonts w:ascii="Arial" w:eastAsia="Times New Roman" w:hAnsi="Arial" w:cs="Arial"/>
          <w:color w:val="000000"/>
          <w:sz w:val="22"/>
          <w:szCs w:val="22"/>
          <w:lang w:eastAsia="es-CO"/>
        </w:rPr>
        <w:t xml:space="preserve"> fue una infracción al DIH ha sido toda una odisea en el país</w:t>
      </w:r>
      <w:r w:rsidR="00C36BA2">
        <w:rPr>
          <w:rFonts w:ascii="Arial" w:eastAsia="Times New Roman" w:hAnsi="Arial" w:cs="Arial"/>
          <w:color w:val="000000"/>
          <w:sz w:val="22"/>
          <w:szCs w:val="22"/>
          <w:lang w:eastAsia="es-CO"/>
        </w:rPr>
        <w:t>. Lo anterior</w:t>
      </w:r>
      <w:r w:rsidR="000D6AD9">
        <w:rPr>
          <w:rFonts w:ascii="Arial" w:eastAsia="Times New Roman" w:hAnsi="Arial" w:cs="Arial"/>
          <w:color w:val="000000"/>
          <w:sz w:val="22"/>
          <w:szCs w:val="22"/>
          <w:lang w:eastAsia="es-CO"/>
        </w:rPr>
        <w:t>,</w:t>
      </w:r>
      <w:r>
        <w:rPr>
          <w:rFonts w:ascii="Arial" w:eastAsia="Times New Roman" w:hAnsi="Arial" w:cs="Arial"/>
          <w:color w:val="000000"/>
          <w:sz w:val="22"/>
          <w:szCs w:val="22"/>
          <w:lang w:eastAsia="es-CO"/>
        </w:rPr>
        <w:t xml:space="preserve"> tanto en la Jurisdicción Ordinaria, JEP y en el procedimiento administrativo ante la Unidad para las Víctimas</w:t>
      </w:r>
      <w:r w:rsidR="00C36BA2">
        <w:rPr>
          <w:rFonts w:ascii="Arial" w:eastAsia="Times New Roman" w:hAnsi="Arial" w:cs="Arial"/>
          <w:color w:val="000000"/>
          <w:sz w:val="22"/>
          <w:szCs w:val="22"/>
          <w:lang w:eastAsia="es-CO"/>
        </w:rPr>
        <w:t>,</w:t>
      </w:r>
      <w:r w:rsidRPr="00C36BA2">
        <w:rPr>
          <w:rFonts w:ascii="Arial" w:eastAsia="Times New Roman" w:hAnsi="Arial" w:cs="Arial"/>
          <w:color w:val="000000"/>
          <w:sz w:val="22"/>
          <w:szCs w:val="22"/>
          <w:lang w:eastAsia="es-CO"/>
        </w:rPr>
        <w:t xml:space="preserve"> </w:t>
      </w:r>
      <w:r w:rsidR="00C36BA2">
        <w:rPr>
          <w:rFonts w:ascii="Arial" w:eastAsia="Times New Roman" w:hAnsi="Arial" w:cs="Arial"/>
          <w:color w:val="000000"/>
          <w:sz w:val="22"/>
          <w:szCs w:val="22"/>
          <w:lang w:eastAsia="es-CO"/>
        </w:rPr>
        <w:t xml:space="preserve">toda vez que </w:t>
      </w:r>
      <w:r w:rsidRPr="00C36BA2">
        <w:rPr>
          <w:rFonts w:ascii="Arial" w:eastAsia="Times New Roman" w:hAnsi="Arial" w:cs="Arial"/>
          <w:color w:val="000000"/>
          <w:sz w:val="22"/>
          <w:szCs w:val="22"/>
          <w:lang w:eastAsia="es-CO"/>
        </w:rPr>
        <w:t xml:space="preserve">esta </w:t>
      </w:r>
      <w:r w:rsidR="00C36BA2">
        <w:rPr>
          <w:rFonts w:ascii="Arial" w:eastAsia="Times New Roman" w:hAnsi="Arial" w:cs="Arial"/>
          <w:color w:val="000000"/>
          <w:sz w:val="22"/>
          <w:szCs w:val="22"/>
          <w:lang w:eastAsia="es-CO"/>
        </w:rPr>
        <w:t xml:space="preserve">última </w:t>
      </w:r>
      <w:r w:rsidRPr="00C36BA2">
        <w:rPr>
          <w:rFonts w:ascii="Arial" w:eastAsia="Times New Roman" w:hAnsi="Arial" w:cs="Arial"/>
          <w:color w:val="000000"/>
          <w:sz w:val="22"/>
          <w:szCs w:val="22"/>
          <w:lang w:eastAsia="es-CO"/>
        </w:rPr>
        <w:t>ha negado miles de casos de policías y militares que evidentemente son víctimas</w:t>
      </w:r>
      <w:r w:rsidR="00C36BA2">
        <w:rPr>
          <w:rFonts w:ascii="Arial" w:eastAsia="Times New Roman" w:hAnsi="Arial" w:cs="Arial"/>
          <w:color w:val="000000"/>
          <w:sz w:val="22"/>
          <w:szCs w:val="22"/>
          <w:lang w:eastAsia="es-CO"/>
        </w:rPr>
        <w:t>,</w:t>
      </w:r>
      <w:r w:rsidRPr="00C36BA2">
        <w:rPr>
          <w:rFonts w:ascii="Arial" w:eastAsia="Times New Roman" w:hAnsi="Arial" w:cs="Arial"/>
          <w:color w:val="000000"/>
          <w:sz w:val="22"/>
          <w:szCs w:val="22"/>
          <w:lang w:eastAsia="es-CO"/>
        </w:rPr>
        <w:t xml:space="preserve"> pero que la </w:t>
      </w:r>
      <w:r w:rsidR="00C36BA2">
        <w:rPr>
          <w:rFonts w:ascii="Arial" w:eastAsia="Times New Roman" w:hAnsi="Arial" w:cs="Arial"/>
          <w:color w:val="000000"/>
          <w:sz w:val="22"/>
          <w:szCs w:val="22"/>
          <w:lang w:eastAsia="es-CO"/>
        </w:rPr>
        <w:t>U</w:t>
      </w:r>
      <w:r w:rsidRPr="00C36BA2">
        <w:rPr>
          <w:rFonts w:ascii="Arial" w:eastAsia="Times New Roman" w:hAnsi="Arial" w:cs="Arial"/>
          <w:color w:val="000000"/>
          <w:sz w:val="22"/>
          <w:szCs w:val="22"/>
          <w:lang w:eastAsia="es-CO"/>
        </w:rPr>
        <w:t xml:space="preserve">nidad </w:t>
      </w:r>
      <w:r w:rsidR="00C36BA2">
        <w:rPr>
          <w:rFonts w:ascii="Arial" w:eastAsia="Times New Roman" w:hAnsi="Arial" w:cs="Arial"/>
          <w:color w:val="000000"/>
          <w:sz w:val="22"/>
          <w:szCs w:val="22"/>
          <w:lang w:eastAsia="es-CO"/>
        </w:rPr>
        <w:t xml:space="preserve">rechaza y </w:t>
      </w:r>
      <w:r w:rsidRPr="00C36BA2">
        <w:rPr>
          <w:rFonts w:ascii="Arial" w:eastAsia="Times New Roman" w:hAnsi="Arial" w:cs="Arial"/>
          <w:color w:val="000000"/>
          <w:sz w:val="22"/>
          <w:szCs w:val="22"/>
          <w:lang w:eastAsia="es-CO"/>
        </w:rPr>
        <w:t xml:space="preserve">señala que en su proceso de valoración no se determinó una infracción al DIH. </w:t>
      </w:r>
      <w:r w:rsidR="000D6AD9">
        <w:rPr>
          <w:rFonts w:ascii="Arial" w:eastAsia="Times New Roman" w:hAnsi="Arial" w:cs="Arial"/>
          <w:color w:val="000000"/>
          <w:sz w:val="22"/>
          <w:szCs w:val="22"/>
          <w:lang w:eastAsia="es-CO"/>
        </w:rPr>
        <w:t xml:space="preserve">Teniendo en cuenta lo expuesto FUNVIDES considera altamente valioso que el homicidio de los miembros de la Fuerza Pública en el marco del conflicto armado sea imprescriptible, tal como busca el presente proyecto de ley. </w:t>
      </w:r>
    </w:p>
    <w:p w14:paraId="461D21E2" w14:textId="66A9ACC5" w:rsidR="000D6AD9" w:rsidRDefault="000D6AD9" w:rsidP="00C36BA2">
      <w:pPr>
        <w:pStyle w:val="Prrafodelista"/>
        <w:jc w:val="both"/>
        <w:rPr>
          <w:rFonts w:ascii="Arial" w:eastAsia="Times New Roman" w:hAnsi="Arial" w:cs="Arial"/>
          <w:color w:val="000000"/>
          <w:sz w:val="22"/>
          <w:szCs w:val="22"/>
          <w:lang w:eastAsia="es-CO"/>
        </w:rPr>
      </w:pPr>
    </w:p>
    <w:p w14:paraId="16560152" w14:textId="587FC170" w:rsidR="000D6AD9" w:rsidRPr="00C36BA2" w:rsidRDefault="000D6AD9" w:rsidP="00C36BA2">
      <w:pPr>
        <w:pStyle w:val="Prrafodelista"/>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 xml:space="preserve">En el caso de homicidios de miembros de la Fuerza Pública por fuera del contexto del conflicto armado, la fundación FUNVIDES considera que se ha perdido el valor de la vida de los militares y policías en general y que las nuevas dinámicas delictivas que, también se adelantan en las ciudades, suponen la necesidad de aprobar el </w:t>
      </w:r>
      <w:r>
        <w:rPr>
          <w:rFonts w:ascii="Arial" w:eastAsia="Times New Roman" w:hAnsi="Arial" w:cs="Arial"/>
          <w:color w:val="000000"/>
          <w:sz w:val="22"/>
          <w:szCs w:val="22"/>
          <w:lang w:eastAsia="es-CO"/>
        </w:rPr>
        <w:lastRenderedPageBreak/>
        <w:t>presente proyecto de ley tal como está contemplado</w:t>
      </w:r>
      <w:r w:rsidR="00941D43">
        <w:rPr>
          <w:rFonts w:ascii="Arial" w:eastAsia="Times New Roman" w:hAnsi="Arial" w:cs="Arial"/>
          <w:color w:val="000000"/>
          <w:sz w:val="22"/>
          <w:szCs w:val="22"/>
          <w:lang w:eastAsia="es-CO"/>
        </w:rPr>
        <w:t xml:space="preserve">. Lo anterior, para atender a las conductas que atentan en contra de la vida de policías, en el marco de delitos que no necesariamente tienen relación con el conflicto, pero si con otros contextos delictivos que tienen gran incidencia en la afectación a la vida de los miembros de la Fuerza Pública. </w:t>
      </w:r>
    </w:p>
    <w:p w14:paraId="3AC7687B" w14:textId="7741B050" w:rsidR="00091611" w:rsidRDefault="00091611" w:rsidP="00091611">
      <w:pPr>
        <w:pStyle w:val="Prrafodelista"/>
        <w:jc w:val="both"/>
        <w:rPr>
          <w:rFonts w:ascii="Arial" w:eastAsia="Times New Roman" w:hAnsi="Arial" w:cs="Arial"/>
          <w:color w:val="000000"/>
          <w:sz w:val="22"/>
          <w:szCs w:val="22"/>
          <w:lang w:eastAsia="es-CO"/>
        </w:rPr>
      </w:pPr>
    </w:p>
    <w:p w14:paraId="2E15D584" w14:textId="4C5F61B7" w:rsidR="00F745B0" w:rsidRDefault="00F745B0" w:rsidP="00091611">
      <w:pPr>
        <w:pStyle w:val="Prrafodelista"/>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Entre otras intervenciones.</w:t>
      </w:r>
    </w:p>
    <w:p w14:paraId="02348D97" w14:textId="77777777" w:rsidR="00F745B0" w:rsidRPr="008A482B" w:rsidRDefault="00F745B0" w:rsidP="00091611">
      <w:pPr>
        <w:pStyle w:val="Prrafodelista"/>
        <w:jc w:val="both"/>
        <w:rPr>
          <w:rFonts w:ascii="Arial" w:eastAsia="Times New Roman" w:hAnsi="Arial" w:cs="Arial"/>
          <w:color w:val="000000"/>
          <w:sz w:val="22"/>
          <w:szCs w:val="22"/>
          <w:lang w:eastAsia="es-CO"/>
        </w:rPr>
      </w:pPr>
    </w:p>
    <w:p w14:paraId="78745298" w14:textId="2BAFD0B1" w:rsidR="008A482B" w:rsidRPr="008A482B" w:rsidRDefault="00B522FB" w:rsidP="008A482B">
      <w:pPr>
        <w:pStyle w:val="NormalWeb"/>
        <w:numPr>
          <w:ilvl w:val="0"/>
          <w:numId w:val="1"/>
        </w:numPr>
        <w:shd w:val="clear" w:color="auto" w:fill="FFFFFF"/>
        <w:spacing w:before="0" w:beforeAutospacing="0" w:after="0" w:afterAutospacing="0"/>
        <w:jc w:val="both"/>
        <w:rPr>
          <w:rFonts w:ascii="Arial" w:hAnsi="Arial" w:cs="Arial"/>
          <w:sz w:val="22"/>
          <w:szCs w:val="22"/>
        </w:rPr>
      </w:pPr>
      <w:r w:rsidRPr="008A482B">
        <w:rPr>
          <w:rFonts w:ascii="Arial" w:hAnsi="Arial" w:cs="Arial"/>
          <w:b/>
          <w:bCs/>
          <w:color w:val="000000"/>
          <w:sz w:val="22"/>
          <w:szCs w:val="22"/>
        </w:rPr>
        <w:t>OBJETO DEL PROYECTO DE LE</w:t>
      </w:r>
      <w:r w:rsidR="008A482B">
        <w:rPr>
          <w:rFonts w:ascii="Arial" w:hAnsi="Arial" w:cs="Arial"/>
          <w:b/>
          <w:bCs/>
          <w:color w:val="000000"/>
          <w:sz w:val="22"/>
          <w:szCs w:val="22"/>
        </w:rPr>
        <w:t>Y</w:t>
      </w:r>
    </w:p>
    <w:p w14:paraId="385DB05E" w14:textId="77777777" w:rsidR="008A482B" w:rsidRDefault="008A482B" w:rsidP="008A482B">
      <w:pPr>
        <w:pStyle w:val="NormalWeb"/>
        <w:shd w:val="clear" w:color="auto" w:fill="FFFFFF"/>
        <w:spacing w:before="0" w:beforeAutospacing="0" w:after="0" w:afterAutospacing="0"/>
        <w:jc w:val="both"/>
        <w:rPr>
          <w:rFonts w:ascii="Arial" w:hAnsi="Arial" w:cs="Arial"/>
          <w:sz w:val="22"/>
          <w:szCs w:val="22"/>
        </w:rPr>
      </w:pPr>
    </w:p>
    <w:p w14:paraId="7540445A" w14:textId="4183C1E5" w:rsidR="00B522FB" w:rsidRPr="008A482B" w:rsidRDefault="008A482B" w:rsidP="00F07255">
      <w:pPr>
        <w:pStyle w:val="NormalWeb"/>
        <w:spacing w:before="0" w:beforeAutospacing="0" w:after="0" w:afterAutospacing="0"/>
        <w:jc w:val="both"/>
        <w:rPr>
          <w:rFonts w:ascii="Arial" w:hAnsi="Arial" w:cs="Arial"/>
          <w:color w:val="000000"/>
          <w:sz w:val="22"/>
          <w:szCs w:val="22"/>
        </w:rPr>
      </w:pPr>
      <w:r w:rsidRPr="008A482B">
        <w:rPr>
          <w:rFonts w:ascii="Arial" w:eastAsia="Times New Roman" w:hAnsi="Arial" w:cs="Arial"/>
          <w:sz w:val="22"/>
          <w:szCs w:val="22"/>
        </w:rPr>
        <w:t>La presente ley tiene por objeto declarar la imprescriptibilidad de la acción penal para el delito de homicidio contra los integrantes de la Fuerza Pública.</w:t>
      </w:r>
    </w:p>
    <w:p w14:paraId="1E672A2C" w14:textId="52999B3B" w:rsidR="00B522FB" w:rsidRPr="00DA7D10" w:rsidRDefault="00B522FB" w:rsidP="00F07255">
      <w:pPr>
        <w:pStyle w:val="NormalWeb"/>
        <w:spacing w:before="0" w:beforeAutospacing="0" w:after="0" w:afterAutospacing="0"/>
        <w:jc w:val="both"/>
        <w:rPr>
          <w:rFonts w:ascii="Arial" w:hAnsi="Arial" w:cs="Arial"/>
          <w:b/>
          <w:bCs/>
          <w:sz w:val="22"/>
          <w:szCs w:val="22"/>
        </w:rPr>
      </w:pPr>
    </w:p>
    <w:p w14:paraId="69E50AD6" w14:textId="4750B0FE" w:rsidR="00DA7D10" w:rsidRDefault="00DA7D10" w:rsidP="00DA7D10">
      <w:pPr>
        <w:pStyle w:val="NormalWeb"/>
        <w:numPr>
          <w:ilvl w:val="0"/>
          <w:numId w:val="1"/>
        </w:numPr>
        <w:spacing w:before="0" w:beforeAutospacing="0" w:after="0" w:afterAutospacing="0"/>
        <w:jc w:val="both"/>
        <w:rPr>
          <w:rFonts w:ascii="Arial" w:hAnsi="Arial" w:cs="Arial"/>
          <w:b/>
          <w:bCs/>
          <w:sz w:val="22"/>
          <w:szCs w:val="22"/>
        </w:rPr>
      </w:pPr>
      <w:r w:rsidRPr="00DA7D10">
        <w:rPr>
          <w:rFonts w:ascii="Arial" w:hAnsi="Arial" w:cs="Arial"/>
          <w:b/>
          <w:bCs/>
          <w:sz w:val="22"/>
          <w:szCs w:val="22"/>
        </w:rPr>
        <w:t>CONTENIDO DEL PROYECTO</w:t>
      </w:r>
    </w:p>
    <w:p w14:paraId="72C7BEE2" w14:textId="77777777" w:rsidR="00DA7D10" w:rsidRPr="00DA7D10" w:rsidRDefault="00DA7D10" w:rsidP="00DA7D10">
      <w:pPr>
        <w:ind w:left="360"/>
        <w:rPr>
          <w:rFonts w:ascii="Arial" w:eastAsia="Times New Roman" w:hAnsi="Arial" w:cs="Arial"/>
          <w:b/>
          <w:bCs/>
          <w:sz w:val="22"/>
          <w:szCs w:val="22"/>
          <w:lang w:eastAsia="es-CO"/>
        </w:rPr>
      </w:pPr>
    </w:p>
    <w:p w14:paraId="73F2E32D" w14:textId="77777777" w:rsidR="00DA7D10" w:rsidRPr="00DA7D10" w:rsidRDefault="00DA7D10" w:rsidP="00DA7D10">
      <w:pPr>
        <w:jc w:val="both"/>
        <w:rPr>
          <w:rFonts w:ascii="Arial" w:eastAsia="Times New Roman" w:hAnsi="Arial" w:cs="Arial"/>
          <w:sz w:val="22"/>
          <w:szCs w:val="22"/>
          <w:lang w:eastAsia="es-CO"/>
        </w:rPr>
      </w:pPr>
      <w:r w:rsidRPr="00DA7D10">
        <w:rPr>
          <w:rFonts w:ascii="Arial" w:eastAsia="Times New Roman" w:hAnsi="Arial" w:cs="Arial"/>
          <w:sz w:val="22"/>
          <w:szCs w:val="22"/>
          <w:lang w:eastAsia="es-CO"/>
        </w:rPr>
        <w:t xml:space="preserve">El presente proyecto de ley ordinaria, se estructura en 3 artículos incluida la vigencia, los cuales desarrollan el objeto, la incorporación del siguiente inciso </w:t>
      </w:r>
      <w:r w:rsidRPr="00DA7D10">
        <w:rPr>
          <w:rFonts w:ascii="Arial" w:eastAsia="Times New Roman" w:hAnsi="Arial" w:cs="Arial"/>
          <w:sz w:val="22"/>
          <w:szCs w:val="22"/>
        </w:rPr>
        <w:t>dentro del artículo 83 del Código Penal</w:t>
      </w:r>
      <w:r w:rsidRPr="00DA7D10">
        <w:rPr>
          <w:rFonts w:ascii="Arial" w:eastAsia="Times New Roman" w:hAnsi="Arial" w:cs="Arial"/>
          <w:sz w:val="22"/>
          <w:szCs w:val="22"/>
          <w:lang w:eastAsia="es-CO"/>
        </w:rPr>
        <w:t xml:space="preserve">: </w:t>
      </w:r>
    </w:p>
    <w:p w14:paraId="480237F3" w14:textId="77777777" w:rsidR="00DA7D10" w:rsidRPr="00DA7D10" w:rsidRDefault="00DA7D10" w:rsidP="00DA7D10">
      <w:pPr>
        <w:pStyle w:val="Prrafodelista"/>
        <w:ind w:left="1080"/>
        <w:jc w:val="both"/>
        <w:rPr>
          <w:rFonts w:ascii="Arial" w:eastAsia="Times New Roman" w:hAnsi="Arial" w:cs="Arial"/>
          <w:sz w:val="22"/>
          <w:szCs w:val="22"/>
          <w:lang w:eastAsia="es-CO"/>
        </w:rPr>
      </w:pPr>
    </w:p>
    <w:p w14:paraId="18292FD5" w14:textId="77777777" w:rsidR="00DA7D10" w:rsidRPr="00DA7D10" w:rsidRDefault="00DA7D10" w:rsidP="00DA7D10">
      <w:pPr>
        <w:pStyle w:val="Prrafodelista"/>
        <w:ind w:left="1080" w:right="333"/>
        <w:jc w:val="both"/>
        <w:rPr>
          <w:rFonts w:ascii="Arial" w:eastAsia="Times New Roman" w:hAnsi="Arial" w:cs="Arial"/>
          <w:i/>
          <w:iCs/>
          <w:sz w:val="22"/>
          <w:szCs w:val="22"/>
        </w:rPr>
      </w:pPr>
      <w:r w:rsidRPr="00DA7D10">
        <w:rPr>
          <w:rFonts w:ascii="Arial" w:eastAsia="Times New Roman" w:hAnsi="Arial" w:cs="Arial"/>
          <w:i/>
          <w:iCs/>
          <w:sz w:val="22"/>
          <w:szCs w:val="22"/>
          <w:lang w:eastAsia="es-CO"/>
        </w:rPr>
        <w:t>“</w:t>
      </w:r>
      <w:r w:rsidRPr="00DA7D10">
        <w:rPr>
          <w:rFonts w:ascii="Arial" w:eastAsia="Times New Roman" w:hAnsi="Arial" w:cs="Arial"/>
          <w:i/>
          <w:iCs/>
          <w:sz w:val="22"/>
          <w:szCs w:val="22"/>
        </w:rPr>
        <w:t xml:space="preserve">La acción penal para los delitos de homicidio, que sean cometidos contra integrantes de la Fuerza Pública en servicio activo, será imprescriptible.” </w:t>
      </w:r>
    </w:p>
    <w:p w14:paraId="7F1CCDF3" w14:textId="77777777" w:rsidR="00DA7D10" w:rsidRPr="00DA7D10" w:rsidRDefault="00DA7D10" w:rsidP="00DA7D10">
      <w:pPr>
        <w:pStyle w:val="Prrafodelista"/>
        <w:ind w:left="1080"/>
        <w:jc w:val="both"/>
        <w:rPr>
          <w:rFonts w:ascii="Arial" w:eastAsia="Times New Roman" w:hAnsi="Arial" w:cs="Arial"/>
          <w:i/>
          <w:iCs/>
          <w:sz w:val="22"/>
          <w:szCs w:val="22"/>
        </w:rPr>
      </w:pPr>
    </w:p>
    <w:p w14:paraId="0F15DFBD" w14:textId="1DE63D33" w:rsidR="00DA7D10" w:rsidRPr="00DA7D10" w:rsidRDefault="00DA7D10" w:rsidP="00DA7D10">
      <w:pPr>
        <w:jc w:val="both"/>
        <w:rPr>
          <w:rFonts w:ascii="Arial" w:eastAsia="Times New Roman" w:hAnsi="Arial" w:cs="Arial"/>
          <w:sz w:val="22"/>
          <w:szCs w:val="22"/>
        </w:rPr>
      </w:pPr>
      <w:r>
        <w:rPr>
          <w:rFonts w:ascii="Arial" w:eastAsia="Times New Roman" w:hAnsi="Arial" w:cs="Arial"/>
          <w:sz w:val="22"/>
          <w:szCs w:val="22"/>
        </w:rPr>
        <w:t>Lo anterior,</w:t>
      </w:r>
      <w:r w:rsidRPr="00DA7D10">
        <w:rPr>
          <w:rFonts w:ascii="Arial" w:eastAsia="Times New Roman" w:hAnsi="Arial" w:cs="Arial"/>
          <w:sz w:val="22"/>
          <w:szCs w:val="22"/>
        </w:rPr>
        <w:t xml:space="preserve"> refuerza la protección especial que ha sido reconocida en el dispositivo amplificador del segundo numeral 5 del artículo 104 de la Ley 599 de 2000, referente a las circunstancias de agravación que establece la Ley de Seguridad Ciudadana.</w:t>
      </w:r>
    </w:p>
    <w:p w14:paraId="7DA2D324" w14:textId="77777777" w:rsidR="00DA7D10" w:rsidRPr="00DA7D10" w:rsidRDefault="00DA7D10" w:rsidP="00DA7D10">
      <w:pPr>
        <w:pStyle w:val="NormalWeb"/>
        <w:spacing w:before="0" w:beforeAutospacing="0" w:after="0" w:afterAutospacing="0"/>
        <w:jc w:val="both"/>
        <w:rPr>
          <w:rFonts w:ascii="Arial" w:hAnsi="Arial" w:cs="Arial"/>
          <w:b/>
          <w:bCs/>
          <w:sz w:val="22"/>
          <w:szCs w:val="22"/>
        </w:rPr>
      </w:pPr>
    </w:p>
    <w:p w14:paraId="1F0694CF" w14:textId="77777777" w:rsidR="008A482B" w:rsidRDefault="008A482B" w:rsidP="0073551C">
      <w:pPr>
        <w:rPr>
          <w:rFonts w:ascii="Arial" w:eastAsia="Times New Roman" w:hAnsi="Arial" w:cs="Arial"/>
          <w:bCs/>
          <w:sz w:val="22"/>
          <w:szCs w:val="22"/>
          <w:lang w:eastAsia="es-CO"/>
        </w:rPr>
      </w:pPr>
    </w:p>
    <w:p w14:paraId="2FFB76DC" w14:textId="77777777" w:rsidR="008A482B" w:rsidRPr="008A482B" w:rsidRDefault="008A482B" w:rsidP="008A482B">
      <w:pPr>
        <w:pStyle w:val="Prrafodelista"/>
        <w:numPr>
          <w:ilvl w:val="0"/>
          <w:numId w:val="1"/>
        </w:numPr>
        <w:jc w:val="both"/>
        <w:rPr>
          <w:rFonts w:ascii="Arial" w:eastAsia="Times New Roman" w:hAnsi="Arial" w:cs="Arial"/>
          <w:b/>
          <w:sz w:val="22"/>
          <w:szCs w:val="22"/>
          <w:lang w:eastAsia="es-CO"/>
        </w:rPr>
      </w:pPr>
      <w:r w:rsidRPr="008A482B">
        <w:rPr>
          <w:rFonts w:ascii="Arial" w:eastAsia="Times New Roman" w:hAnsi="Arial" w:cs="Arial"/>
          <w:b/>
          <w:sz w:val="22"/>
          <w:szCs w:val="22"/>
          <w:lang w:eastAsia="es-CO"/>
        </w:rPr>
        <w:t>NECESIDAD DEL PROYECTO DE LEY</w:t>
      </w:r>
    </w:p>
    <w:p w14:paraId="729472F1" w14:textId="77777777" w:rsidR="008A482B" w:rsidRDefault="008A482B" w:rsidP="008A482B">
      <w:pPr>
        <w:jc w:val="both"/>
        <w:rPr>
          <w:rFonts w:ascii="Arial" w:eastAsia="Times New Roman" w:hAnsi="Arial" w:cs="Arial"/>
          <w:bCs/>
          <w:sz w:val="22"/>
          <w:szCs w:val="22"/>
          <w:lang w:eastAsia="es-CO"/>
        </w:rPr>
      </w:pPr>
    </w:p>
    <w:p w14:paraId="11D6CC06" w14:textId="5DFDF45D"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El presente proyecto de ley propone decretar la imprescriptibilidad de la acción penal para la conducta punible de homicidio contra integrantes de la Fuerza Pública, en aras de garantizar el acceso a la justicia de las familias víctimas de la violencia contra la Fuerza Pública cuando los homicidios a los integrantes de la fuerza ocurren en la prestación de su servicio o por el simple hecho de pertenecer a la institución castrense. Asimismo, esta propuesta impulsa la materialización de la protección constitucional progresiva a la Fuerza Pública por el alto riesgo de su servicio y por la finalidad primordial a la defensa de la soberanía, la independencia, la integridad del territorio nacional y del orden constitucional.</w:t>
      </w:r>
    </w:p>
    <w:p w14:paraId="785DAACA" w14:textId="77777777" w:rsidR="0073551C" w:rsidRPr="008A482B" w:rsidRDefault="0073551C" w:rsidP="008A482B">
      <w:pPr>
        <w:jc w:val="both"/>
        <w:rPr>
          <w:rFonts w:ascii="Arial" w:eastAsia="Times New Roman" w:hAnsi="Arial" w:cs="Arial"/>
          <w:bCs/>
          <w:sz w:val="22"/>
          <w:szCs w:val="22"/>
          <w:lang w:eastAsia="es-CO"/>
        </w:rPr>
      </w:pPr>
    </w:p>
    <w:p w14:paraId="3C6DF275" w14:textId="77777777"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Lo anterior, representa una tendencia en aumento del 28% de asesinatos en contra de miembros de la Fuerza Pública durante actos del servicio para los periodos de enero a junio de 2022 en comparación con el mismo periodo del 2021; siendo este, el aumento más alto dentro del periodo de enero a junio en los últimos 6 años según el informe de junio de 2022 del Ministerio de Defensa</w:t>
      </w:r>
      <w:r w:rsidRPr="008A482B">
        <w:rPr>
          <w:rStyle w:val="Refdenotaalpie"/>
          <w:rFonts w:ascii="Arial" w:eastAsia="Times New Roman" w:hAnsi="Arial" w:cs="Arial"/>
          <w:bCs/>
          <w:sz w:val="22"/>
          <w:szCs w:val="22"/>
          <w:lang w:eastAsia="es-CO"/>
        </w:rPr>
        <w:footnoteReference w:id="1"/>
      </w:r>
      <w:r w:rsidRPr="008A482B">
        <w:rPr>
          <w:rFonts w:ascii="Arial" w:eastAsia="Times New Roman" w:hAnsi="Arial" w:cs="Arial"/>
          <w:bCs/>
          <w:sz w:val="22"/>
          <w:szCs w:val="22"/>
          <w:lang w:eastAsia="es-CO"/>
        </w:rPr>
        <w:t xml:space="preserve">. </w:t>
      </w:r>
    </w:p>
    <w:p w14:paraId="60FB3BB5" w14:textId="77777777" w:rsidR="0073551C" w:rsidRPr="008A482B" w:rsidRDefault="0073551C" w:rsidP="008A482B">
      <w:pPr>
        <w:jc w:val="both"/>
        <w:rPr>
          <w:rFonts w:ascii="Arial" w:eastAsia="Times New Roman" w:hAnsi="Arial" w:cs="Arial"/>
          <w:bCs/>
          <w:sz w:val="22"/>
          <w:szCs w:val="22"/>
          <w:lang w:eastAsia="es-CO"/>
        </w:rPr>
      </w:pPr>
    </w:p>
    <w:p w14:paraId="212E7A5A" w14:textId="77777777"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Pese a los exorbitantes aumentos de homicidios contra la Fuerza Pública desde el 2002 al 2015, desde el 2000 a corte de diciembre de 2021, se han registrado 41,191 víctimas de la Fuerza Pública. siendo 8,432 fueron asesinadas y 35,199 heridas.</w:t>
      </w:r>
    </w:p>
    <w:p w14:paraId="0F18A23E" w14:textId="77777777" w:rsidR="0073551C" w:rsidRPr="008A482B" w:rsidRDefault="0073551C" w:rsidP="008A482B">
      <w:pPr>
        <w:jc w:val="both"/>
        <w:rPr>
          <w:rFonts w:ascii="Arial" w:eastAsia="Times New Roman" w:hAnsi="Arial" w:cs="Arial"/>
          <w:bCs/>
          <w:sz w:val="22"/>
          <w:szCs w:val="22"/>
          <w:lang w:eastAsia="es-CO"/>
        </w:rPr>
      </w:pPr>
    </w:p>
    <w:p w14:paraId="3F14EC4E" w14:textId="77777777"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 xml:space="preserve">En lo corrido del 2022, se han registrado 117 asesinatos contra nuestra Fuerza Pública a corte de 01 de agosto, lo que representa un poco más de la misma cifra de asesinatos cometidos durante todo el año 2016, la diferencia es que aún no se ha acabado el año 2022 y las cifras siguen subiendo. </w:t>
      </w:r>
    </w:p>
    <w:p w14:paraId="20BA46A0" w14:textId="77777777" w:rsidR="0073551C" w:rsidRPr="008A482B" w:rsidRDefault="0073551C" w:rsidP="008A482B">
      <w:pPr>
        <w:jc w:val="both"/>
        <w:rPr>
          <w:rFonts w:ascii="Arial" w:eastAsia="Times New Roman" w:hAnsi="Arial" w:cs="Arial"/>
          <w:bCs/>
          <w:sz w:val="22"/>
          <w:szCs w:val="22"/>
          <w:lang w:eastAsia="es-CO"/>
        </w:rPr>
      </w:pPr>
    </w:p>
    <w:p w14:paraId="25343D3F" w14:textId="77777777"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Pese a lo anterior, l</w:t>
      </w:r>
      <w:r w:rsidRPr="008A482B">
        <w:rPr>
          <w:rFonts w:ascii="Arial" w:hAnsi="Arial" w:cs="Arial"/>
          <w:sz w:val="22"/>
          <w:szCs w:val="22"/>
        </w:rPr>
        <w:t>a impunidad es un fenómeno que se presenta en niveles elevados en Colombia donde el 57% de departamentos se clasifica en un grado alto o muy alto de impunidad y sólo el 9% se encuentra en un nivel bajo (2019), según Índice Global de Impunidad (IGI-2020), además, asignó a Colombia el lugar 49 con un valor total de 46.88 entre los 69 países analizados. En 2017, el IGI evaluó 67 países y para ese año la posición de Colombia fue la 61.</w:t>
      </w:r>
      <w:r w:rsidRPr="008A482B">
        <w:rPr>
          <w:rStyle w:val="Refdenotaalpie"/>
          <w:rFonts w:ascii="Arial" w:hAnsi="Arial" w:cs="Arial"/>
          <w:sz w:val="22"/>
          <w:szCs w:val="22"/>
        </w:rPr>
        <w:footnoteReference w:id="2"/>
      </w:r>
      <w:r w:rsidRPr="008A482B">
        <w:rPr>
          <w:rFonts w:ascii="Arial" w:hAnsi="Arial" w:cs="Arial"/>
          <w:sz w:val="22"/>
          <w:szCs w:val="22"/>
        </w:rPr>
        <w:t xml:space="preserve"> </w:t>
      </w:r>
    </w:p>
    <w:p w14:paraId="601E5A8C" w14:textId="7F8BBF2B" w:rsidR="0073551C" w:rsidRDefault="0073551C" w:rsidP="008A482B">
      <w:pPr>
        <w:jc w:val="both"/>
        <w:rPr>
          <w:rFonts w:ascii="Arial" w:eastAsia="Times New Roman" w:hAnsi="Arial" w:cs="Arial"/>
          <w:b/>
          <w:bCs/>
          <w:sz w:val="22"/>
          <w:szCs w:val="22"/>
          <w:lang w:eastAsia="es-CO"/>
        </w:rPr>
      </w:pPr>
    </w:p>
    <w:p w14:paraId="2F31DF9D" w14:textId="77777777" w:rsidR="00DA7D10" w:rsidRPr="008A482B" w:rsidRDefault="00DA7D10" w:rsidP="008A482B">
      <w:pPr>
        <w:jc w:val="both"/>
        <w:rPr>
          <w:rFonts w:ascii="Arial" w:eastAsia="Times New Roman" w:hAnsi="Arial" w:cs="Arial"/>
          <w:b/>
          <w:bCs/>
          <w:sz w:val="22"/>
          <w:szCs w:val="22"/>
          <w:lang w:eastAsia="es-CO"/>
        </w:rPr>
      </w:pPr>
    </w:p>
    <w:p w14:paraId="0784A3B3" w14:textId="2B156D97" w:rsidR="0073551C" w:rsidRPr="008A482B" w:rsidRDefault="00DA7D10" w:rsidP="008A482B">
      <w:pPr>
        <w:pStyle w:val="Prrafodelista"/>
        <w:numPr>
          <w:ilvl w:val="0"/>
          <w:numId w:val="16"/>
        </w:numPr>
        <w:jc w:val="both"/>
        <w:rPr>
          <w:rFonts w:ascii="Arial" w:eastAsia="Times New Roman" w:hAnsi="Arial" w:cs="Arial"/>
          <w:b/>
          <w:bCs/>
          <w:sz w:val="22"/>
          <w:szCs w:val="22"/>
          <w:lang w:eastAsia="es-CO"/>
        </w:rPr>
      </w:pPr>
      <w:r w:rsidRPr="008A482B">
        <w:rPr>
          <w:rFonts w:ascii="Arial" w:eastAsia="Times New Roman" w:hAnsi="Arial" w:cs="Arial"/>
          <w:b/>
          <w:bCs/>
          <w:sz w:val="22"/>
          <w:szCs w:val="22"/>
          <w:lang w:eastAsia="es-CO"/>
        </w:rPr>
        <w:t>RÉGIMEN ESPECIAL DE LA FUERZA PÚBLICA.</w:t>
      </w:r>
    </w:p>
    <w:p w14:paraId="0688C0A7" w14:textId="77777777" w:rsidR="0073551C" w:rsidRPr="008A482B" w:rsidRDefault="0073551C" w:rsidP="008A482B">
      <w:pPr>
        <w:jc w:val="both"/>
        <w:rPr>
          <w:rFonts w:ascii="Arial" w:eastAsia="Times New Roman" w:hAnsi="Arial" w:cs="Arial"/>
          <w:b/>
          <w:bCs/>
          <w:sz w:val="22"/>
          <w:szCs w:val="22"/>
          <w:lang w:eastAsia="es-CO"/>
        </w:rPr>
      </w:pPr>
    </w:p>
    <w:p w14:paraId="47538A1A" w14:textId="794E0E35" w:rsidR="0073551C" w:rsidRPr="008A482B" w:rsidRDefault="00DA7D10" w:rsidP="008A482B">
      <w:pPr>
        <w:jc w:val="both"/>
        <w:rPr>
          <w:rFonts w:ascii="Arial" w:eastAsia="Times New Roman" w:hAnsi="Arial" w:cs="Arial"/>
          <w:b/>
          <w:bCs/>
          <w:sz w:val="22"/>
          <w:szCs w:val="22"/>
          <w:lang w:eastAsia="es-CO"/>
        </w:rPr>
      </w:pPr>
      <w:r>
        <w:rPr>
          <w:rFonts w:ascii="Arial" w:eastAsia="Times New Roman" w:hAnsi="Arial" w:cs="Arial"/>
          <w:b/>
          <w:bCs/>
          <w:sz w:val="22"/>
          <w:szCs w:val="22"/>
          <w:lang w:eastAsia="es-CO"/>
        </w:rPr>
        <w:t>1</w:t>
      </w:r>
      <w:r w:rsidR="0073551C" w:rsidRPr="008A482B">
        <w:rPr>
          <w:rFonts w:ascii="Arial" w:eastAsia="Times New Roman" w:hAnsi="Arial" w:cs="Arial"/>
          <w:b/>
          <w:bCs/>
          <w:sz w:val="22"/>
          <w:szCs w:val="22"/>
          <w:lang w:eastAsia="es-CO"/>
        </w:rPr>
        <w:t>.1 Normatividad constitucional</w:t>
      </w:r>
    </w:p>
    <w:p w14:paraId="6AE5F391" w14:textId="77777777" w:rsidR="0073551C" w:rsidRPr="008A482B" w:rsidRDefault="0073551C" w:rsidP="008A482B">
      <w:pPr>
        <w:jc w:val="both"/>
        <w:rPr>
          <w:rFonts w:ascii="Arial" w:eastAsia="Times New Roman" w:hAnsi="Arial" w:cs="Arial"/>
          <w:b/>
          <w:bCs/>
          <w:sz w:val="22"/>
          <w:szCs w:val="22"/>
          <w:lang w:eastAsia="es-CO"/>
        </w:rPr>
      </w:pPr>
    </w:p>
    <w:p w14:paraId="12BDDFA4" w14:textId="77777777"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Constitucionalmente, bajo el principio de exclusividad la fuerza pública está integrada por las Fuerzas Militares y la Policía Nacional (artículo 216 CP). Dicha fuerza pública ejerce la defensa de la Nación, cuyas Fuerzas Militares permanentes están constituidas por el Ejército, la Armada y la Fuerza Aérea y, tendrán como finalidad primordial la defensa de la soberanía, la independencia, la integridad del territorio nacional y del orden constitucional (artículo 217 CP). Por tanto, es la Ley la que determinará el sistema de reemplazos en las Fuerzas Militares, así como los ascensos, derechos y obligaciones de sus miembros y el régimen especial de carrera, prestacional y disciplinario, que les es propio.</w:t>
      </w:r>
    </w:p>
    <w:p w14:paraId="193941AA" w14:textId="77777777" w:rsidR="0073551C" w:rsidRPr="008A482B" w:rsidRDefault="0073551C" w:rsidP="008A482B">
      <w:pPr>
        <w:jc w:val="both"/>
        <w:rPr>
          <w:rFonts w:ascii="Arial" w:eastAsia="Times New Roman" w:hAnsi="Arial" w:cs="Arial"/>
          <w:bCs/>
          <w:sz w:val="22"/>
          <w:szCs w:val="22"/>
          <w:lang w:eastAsia="es-CO"/>
        </w:rPr>
      </w:pPr>
    </w:p>
    <w:p w14:paraId="4498DB3E" w14:textId="77777777" w:rsidR="0073551C" w:rsidRPr="008A482B" w:rsidRDefault="0073551C" w:rsidP="008A482B">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Por otra parte, 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(artículo 218 CP)</w:t>
      </w:r>
    </w:p>
    <w:p w14:paraId="371FB41D" w14:textId="77777777" w:rsidR="0073551C" w:rsidRPr="008A482B" w:rsidRDefault="0073551C" w:rsidP="008A482B">
      <w:pPr>
        <w:jc w:val="both"/>
        <w:rPr>
          <w:rFonts w:ascii="Arial" w:eastAsia="Times New Roman" w:hAnsi="Arial" w:cs="Arial"/>
          <w:bCs/>
          <w:sz w:val="22"/>
          <w:szCs w:val="22"/>
          <w:lang w:eastAsia="es-CO"/>
        </w:rPr>
      </w:pPr>
    </w:p>
    <w:p w14:paraId="564D872A" w14:textId="5AF729AA" w:rsidR="0073551C" w:rsidRPr="008A482B" w:rsidRDefault="00DA7D10" w:rsidP="008A482B">
      <w:pPr>
        <w:jc w:val="both"/>
        <w:rPr>
          <w:rFonts w:ascii="Arial" w:eastAsia="Times New Roman" w:hAnsi="Arial" w:cs="Arial"/>
          <w:b/>
          <w:bCs/>
          <w:sz w:val="22"/>
          <w:szCs w:val="22"/>
          <w:lang w:eastAsia="es-CO"/>
        </w:rPr>
      </w:pPr>
      <w:r>
        <w:rPr>
          <w:rFonts w:ascii="Arial" w:eastAsia="Times New Roman" w:hAnsi="Arial" w:cs="Arial"/>
          <w:b/>
          <w:bCs/>
          <w:sz w:val="22"/>
          <w:szCs w:val="22"/>
          <w:lang w:eastAsia="es-CO"/>
        </w:rPr>
        <w:t>1</w:t>
      </w:r>
      <w:r w:rsidR="0073551C" w:rsidRPr="008A482B">
        <w:rPr>
          <w:rFonts w:ascii="Arial" w:eastAsia="Times New Roman" w:hAnsi="Arial" w:cs="Arial"/>
          <w:b/>
          <w:bCs/>
          <w:sz w:val="22"/>
          <w:szCs w:val="22"/>
          <w:lang w:eastAsia="es-CO"/>
        </w:rPr>
        <w:t>.2 Pronunciamientos de la Corte Constitucional</w:t>
      </w:r>
    </w:p>
    <w:p w14:paraId="77472CCC" w14:textId="77777777" w:rsidR="0073551C" w:rsidRPr="008A482B" w:rsidRDefault="0073551C" w:rsidP="008A482B">
      <w:pPr>
        <w:jc w:val="both"/>
        <w:rPr>
          <w:rFonts w:ascii="Arial" w:eastAsia="Times New Roman" w:hAnsi="Arial" w:cs="Arial"/>
          <w:bCs/>
          <w:sz w:val="22"/>
          <w:szCs w:val="22"/>
          <w:lang w:eastAsia="es-CO"/>
        </w:rPr>
      </w:pPr>
    </w:p>
    <w:p w14:paraId="008E8673" w14:textId="77777777" w:rsidR="0073551C" w:rsidRPr="008A482B" w:rsidRDefault="0073551C" w:rsidP="008A482B">
      <w:pPr>
        <w:jc w:val="both"/>
        <w:rPr>
          <w:rFonts w:ascii="Arial" w:eastAsia="Times New Roman" w:hAnsi="Arial" w:cs="Arial"/>
          <w:bCs/>
          <w:i/>
          <w:sz w:val="22"/>
          <w:szCs w:val="22"/>
          <w:lang w:eastAsia="es-CO"/>
        </w:rPr>
      </w:pPr>
      <w:r w:rsidRPr="008A482B">
        <w:rPr>
          <w:rFonts w:ascii="Arial" w:eastAsia="Times New Roman" w:hAnsi="Arial" w:cs="Arial"/>
          <w:bCs/>
          <w:sz w:val="22"/>
          <w:szCs w:val="22"/>
          <w:lang w:eastAsia="es-CO"/>
        </w:rPr>
        <w:t xml:space="preserve">A la luz de la Corte Constitucional en sentencia C-421/02, </w:t>
      </w:r>
      <w:r w:rsidRPr="008A482B">
        <w:rPr>
          <w:rFonts w:ascii="Arial" w:eastAsia="Times New Roman" w:hAnsi="Arial" w:cs="Arial"/>
          <w:bCs/>
          <w:i/>
          <w:sz w:val="22"/>
          <w:szCs w:val="22"/>
          <w:lang w:eastAsia="es-CO"/>
        </w:rPr>
        <w:t>“(…) en diferentes oportunidades se ha referido a la naturaleza jurídica de la Policía Nacional y de las Fuerzas Militares para destacar las diferencias entre las dos instituciones. Tales diferencias radican fundamentalmente en el carácter civil que se atribuye a la Policía y que emerge del artículo 218 de la Constitución, carácter del que no se revisten las Fuerzas Militares, y en el objetivo que persigue cada institución, el cual en el caso de la Policía es “el mantenimiento de las condiciones necesarias para el ejercicio de los derechos y libertades públicas, y para asegurar que los habitantes de Colombia convivan en paz”, mientras que en el caso de las Fuerzas Militares “la defensa de la soberanía, la independencia, la integridad del territorio nacional y del orden constitucional”.</w:t>
      </w:r>
    </w:p>
    <w:p w14:paraId="76C89276" w14:textId="77777777" w:rsidR="0073551C" w:rsidRPr="008A482B" w:rsidRDefault="0073551C" w:rsidP="008A482B">
      <w:pPr>
        <w:jc w:val="both"/>
        <w:rPr>
          <w:rFonts w:ascii="Arial" w:eastAsia="Times New Roman" w:hAnsi="Arial" w:cs="Arial"/>
          <w:bCs/>
          <w:i/>
          <w:sz w:val="22"/>
          <w:szCs w:val="22"/>
          <w:lang w:eastAsia="es-CO"/>
        </w:rPr>
      </w:pPr>
    </w:p>
    <w:p w14:paraId="07A7AAEA" w14:textId="77777777" w:rsidR="0073551C" w:rsidRPr="008A482B" w:rsidRDefault="0073551C" w:rsidP="008A482B">
      <w:pPr>
        <w:jc w:val="both"/>
        <w:rPr>
          <w:rFonts w:ascii="Arial" w:eastAsia="Times New Roman" w:hAnsi="Arial" w:cs="Arial"/>
          <w:bCs/>
          <w:i/>
          <w:sz w:val="22"/>
          <w:szCs w:val="22"/>
          <w:lang w:eastAsia="es-CO"/>
        </w:rPr>
      </w:pPr>
      <w:r w:rsidRPr="008A482B">
        <w:rPr>
          <w:rFonts w:ascii="Arial" w:eastAsia="Times New Roman" w:hAnsi="Arial" w:cs="Arial"/>
          <w:bCs/>
          <w:sz w:val="22"/>
          <w:szCs w:val="22"/>
          <w:lang w:eastAsia="es-CO"/>
        </w:rPr>
        <w:t xml:space="preserve">Asimismo, determina en la sentencia antes citada que la finalidad del régimen especial de las fuerzas militares es </w:t>
      </w:r>
      <w:r w:rsidRPr="008A482B">
        <w:rPr>
          <w:rFonts w:ascii="Arial" w:eastAsia="Times New Roman" w:hAnsi="Arial" w:cs="Arial"/>
          <w:bCs/>
          <w:i/>
          <w:sz w:val="22"/>
          <w:szCs w:val="22"/>
          <w:lang w:eastAsia="es-CO"/>
        </w:rPr>
        <w:t xml:space="preserve">“(…) garantizar su neutralidad política, les restringe el ejercicio de algunos derechos políticos fundamentales, tales como el derecho al sufragio, de reunión, de petición y a intervenir en actividades y debates de los partidos y movimientos políticos. </w:t>
      </w:r>
      <w:r w:rsidRPr="008A482B">
        <w:rPr>
          <w:rFonts w:ascii="Arial" w:eastAsia="Times New Roman" w:hAnsi="Arial" w:cs="Arial"/>
          <w:bCs/>
          <w:i/>
          <w:sz w:val="22"/>
          <w:szCs w:val="22"/>
          <w:lang w:eastAsia="es-CO"/>
        </w:rPr>
        <w:lastRenderedPageBreak/>
        <w:t>Adicionalmente, autoriza al legislador para determinar un régimen especial disciplinario y penal, de carrera, prestacional, así como un sistema de promoción profesional, cultural y social.”</w:t>
      </w:r>
    </w:p>
    <w:p w14:paraId="46547D31" w14:textId="77777777" w:rsidR="0073551C" w:rsidRPr="008A482B" w:rsidRDefault="0073551C" w:rsidP="008A482B">
      <w:pPr>
        <w:jc w:val="both"/>
        <w:rPr>
          <w:rFonts w:ascii="Arial" w:hAnsi="Arial" w:cs="Arial"/>
          <w:iCs/>
          <w:sz w:val="22"/>
          <w:szCs w:val="22"/>
          <w:shd w:val="clear" w:color="auto" w:fill="FFFFFF"/>
        </w:rPr>
      </w:pPr>
    </w:p>
    <w:p w14:paraId="3253A4C2" w14:textId="2D8F818F" w:rsidR="0073551C" w:rsidRDefault="0073551C" w:rsidP="008A482B">
      <w:pPr>
        <w:jc w:val="both"/>
        <w:rPr>
          <w:rFonts w:ascii="Arial" w:hAnsi="Arial" w:cs="Arial"/>
          <w:i/>
          <w:iCs/>
          <w:sz w:val="22"/>
          <w:szCs w:val="22"/>
          <w:shd w:val="clear" w:color="auto" w:fill="FFFFFF"/>
        </w:rPr>
      </w:pPr>
      <w:r w:rsidRPr="008A482B">
        <w:rPr>
          <w:rFonts w:ascii="Arial" w:hAnsi="Arial" w:cs="Arial"/>
          <w:iCs/>
          <w:sz w:val="22"/>
          <w:szCs w:val="22"/>
          <w:shd w:val="clear" w:color="auto" w:fill="FFFFFF"/>
        </w:rPr>
        <w:t>Conservando así su postura en sentencia C-116/21 donde señala que,</w:t>
      </w:r>
      <w:r w:rsidRPr="008A482B">
        <w:rPr>
          <w:rFonts w:ascii="Arial" w:hAnsi="Arial" w:cs="Arial"/>
          <w:i/>
          <w:iCs/>
          <w:sz w:val="22"/>
          <w:szCs w:val="22"/>
          <w:shd w:val="clear" w:color="auto" w:fill="FFFFFF"/>
        </w:rPr>
        <w:t xml:space="preserve"> (…) la Constitución y el legislador han creado un régimen de protección especial y favorable para quienes integran y han integrado la fuerza pública. Este régimen les beneficia tanto durante el servicio activo como durante el retiro. La jurisprudencia constitucional ha considerado que esa serie de privilegios o prebendas no son contrarias al principio de igualdad en tanto compensan los riesgos, las pérdidas o los daños a los que estuvieron expuestos durante el cumplimiento de una obligación constitucional. Ahora bien, lo anterior también implica que los veteranos ostentan una protección tanto constitucional como legal reforzada y multidimensional que les aleja -como colectivo- de la situación de vulnerabilidad.”</w:t>
      </w:r>
      <w:r w:rsidRPr="008A482B">
        <w:rPr>
          <w:rStyle w:val="Refdenotaalpie"/>
          <w:rFonts w:ascii="Arial" w:hAnsi="Arial" w:cs="Arial"/>
          <w:i/>
          <w:iCs/>
          <w:sz w:val="22"/>
          <w:szCs w:val="22"/>
          <w:shd w:val="clear" w:color="auto" w:fill="FFFFFF"/>
        </w:rPr>
        <w:footnoteReference w:id="3"/>
      </w:r>
    </w:p>
    <w:p w14:paraId="756A0697" w14:textId="77777777" w:rsidR="00DA7D10" w:rsidRPr="008A482B" w:rsidRDefault="00DA7D10" w:rsidP="008A482B">
      <w:pPr>
        <w:jc w:val="both"/>
        <w:rPr>
          <w:rFonts w:ascii="Arial" w:hAnsi="Arial" w:cs="Arial"/>
          <w:i/>
          <w:iCs/>
          <w:sz w:val="22"/>
          <w:szCs w:val="22"/>
          <w:shd w:val="clear" w:color="auto" w:fill="FFFFFF"/>
        </w:rPr>
      </w:pPr>
    </w:p>
    <w:p w14:paraId="4DE465CA" w14:textId="77777777" w:rsidR="0073551C" w:rsidRPr="008A482B" w:rsidRDefault="0073551C" w:rsidP="0073551C">
      <w:pPr>
        <w:rPr>
          <w:rFonts w:ascii="Arial" w:eastAsia="Times New Roman" w:hAnsi="Arial" w:cs="Arial"/>
          <w:b/>
          <w:bCs/>
          <w:sz w:val="22"/>
          <w:szCs w:val="22"/>
          <w:lang w:eastAsia="es-CO"/>
        </w:rPr>
      </w:pPr>
    </w:p>
    <w:p w14:paraId="4E21E2E1" w14:textId="484BAFCC" w:rsidR="0073551C" w:rsidRPr="00DA7D10" w:rsidRDefault="00DA7D10" w:rsidP="00DA7D10">
      <w:pPr>
        <w:pStyle w:val="Prrafodelista"/>
        <w:numPr>
          <w:ilvl w:val="0"/>
          <w:numId w:val="16"/>
        </w:numPr>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PRECEDENTE CONSTITUCIONAL DEL ENFOQUE DIFERENCIADO.</w:t>
      </w:r>
    </w:p>
    <w:p w14:paraId="0509AC2E" w14:textId="77777777" w:rsidR="0073551C" w:rsidRPr="008A482B" w:rsidRDefault="0073551C" w:rsidP="0073551C">
      <w:pPr>
        <w:pStyle w:val="NormalWeb"/>
        <w:shd w:val="clear" w:color="auto" w:fill="FFFFFF"/>
        <w:spacing w:before="48" w:beforeAutospacing="0" w:after="0" w:afterAutospacing="0"/>
        <w:ind w:left="46" w:right="38"/>
        <w:jc w:val="both"/>
        <w:rPr>
          <w:rFonts w:ascii="Arial" w:hAnsi="Arial" w:cs="Arial"/>
          <w:sz w:val="22"/>
          <w:szCs w:val="22"/>
        </w:rPr>
      </w:pPr>
    </w:p>
    <w:p w14:paraId="5F1F1D67" w14:textId="77777777" w:rsidR="0073551C" w:rsidRPr="008A482B" w:rsidRDefault="0073551C" w:rsidP="0073551C">
      <w:pPr>
        <w:pStyle w:val="NormalWeb"/>
        <w:shd w:val="clear" w:color="auto" w:fill="FFFFFF"/>
        <w:spacing w:before="48" w:beforeAutospacing="0" w:after="0" w:afterAutospacing="0"/>
        <w:ind w:left="46" w:right="38"/>
        <w:jc w:val="both"/>
        <w:rPr>
          <w:rFonts w:ascii="Arial" w:hAnsi="Arial" w:cs="Arial"/>
          <w:sz w:val="22"/>
          <w:szCs w:val="22"/>
        </w:rPr>
      </w:pPr>
      <w:r w:rsidRPr="008A482B">
        <w:rPr>
          <w:rFonts w:ascii="Arial" w:hAnsi="Arial" w:cs="Arial"/>
          <w:sz w:val="22"/>
          <w:szCs w:val="22"/>
          <w:lang w:val="es-ES"/>
        </w:rPr>
        <w:t>Resulta imperante tener en cuenta que el ejercicio propio de los miembros de la Fuerza Pública desde su génesis es una actividad de alto riesgo. En los postulados de la Corte Constitucional sobre el reconocimiento del alto riesgo que emanan las actividades propias de la Fuerzas Militares y Policiales, se sostiene en Sentencia C-432 de 2004, M.P. Rodrigo Escobar Gil, que:</w:t>
      </w:r>
    </w:p>
    <w:p w14:paraId="47B7D734"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i/>
          <w:iCs/>
          <w:sz w:val="22"/>
          <w:szCs w:val="22"/>
          <w:lang w:val="es-ES"/>
        </w:rPr>
        <w:t> </w:t>
      </w:r>
    </w:p>
    <w:p w14:paraId="72C7B71C"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i/>
          <w:iCs/>
          <w:sz w:val="22"/>
          <w:szCs w:val="22"/>
          <w:lang w:val="es-ES"/>
        </w:rPr>
        <w:t>“(…) es indispensable adoptar medidas de protección superiores, en aras de propender por la igualdad material, la equidad y la justicia social de las minorías beneficiadas con la especial protección prevista en la Constitución (…)”</w:t>
      </w:r>
    </w:p>
    <w:p w14:paraId="72C8A97A"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sz w:val="22"/>
          <w:szCs w:val="22"/>
          <w:lang w:val="es-ES"/>
        </w:rPr>
        <w:t> </w:t>
      </w:r>
    </w:p>
    <w:p w14:paraId="171A9459"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sz w:val="22"/>
          <w:szCs w:val="22"/>
          <w:lang w:val="es-ES"/>
        </w:rPr>
        <w:t>Por tanto, en afinidad con el riesgo latente que envuelve la función pública de las Fuerzas Militares y Policiales, en esta misma línea, la Corte Constitucional en sentencia C-101 de 2003 con M.P. Jaime Córdoba Triviño resalta que cada miembro de la Fuerza Pública:</w:t>
      </w:r>
    </w:p>
    <w:p w14:paraId="71B9EAE1"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sz w:val="22"/>
          <w:szCs w:val="22"/>
          <w:lang w:val="es-ES"/>
        </w:rPr>
        <w:t> </w:t>
      </w:r>
    </w:p>
    <w:p w14:paraId="04749DB2"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i/>
          <w:iCs/>
          <w:sz w:val="22"/>
          <w:szCs w:val="22"/>
          <w:lang w:val="es-ES"/>
        </w:rPr>
        <w:t>“(...) En efecto, durante su carrera se verá en diferentes situaciones de peligro que, de acuerdo con su formación, deberá y podrá afrontar en mayor o menor medida. Es claro que según se encuentre o no en cumplimiento de un acto propio del servicio, o en el frente combatiendo con el enemigo, ya sean estos grupos alzados en armas o en conflicto internacional, el riesgo de perder la vida es mayor en unos casos que en otros. De igual manera si el tiempo al servicio de la institución castrense es mayor, el riesgo y el peligro a que se ha visto enfrentado ese militar y su familia es mayor, lo que se traduce en una regla consistente en que, entre más tiempo de servicio, el riesgo que ha debido soportar es mayor.</w:t>
      </w:r>
    </w:p>
    <w:p w14:paraId="08D27522"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i/>
          <w:iCs/>
          <w:sz w:val="22"/>
          <w:szCs w:val="22"/>
          <w:lang w:val="es-ES"/>
        </w:rPr>
        <w:t> </w:t>
      </w:r>
    </w:p>
    <w:p w14:paraId="0CE44710"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i/>
          <w:iCs/>
          <w:sz w:val="22"/>
          <w:szCs w:val="22"/>
          <w:lang w:val="es-ES"/>
        </w:rPr>
        <w:t>Así las cosas, teniendo en cuenta las distintas actividades desde el punto de vista funcional o material que cumplen los miembros de las Fuerzas Militares, y dado que dentro de su deber profesional se encuentra el de arriesgar la vida, para la Corte es razonable y por lo tanto se justifica el trato diferenciado (…)”.</w:t>
      </w:r>
    </w:p>
    <w:p w14:paraId="2C86DCA6" w14:textId="77777777" w:rsidR="0073551C" w:rsidRPr="008A482B" w:rsidRDefault="0073551C" w:rsidP="0073551C">
      <w:pPr>
        <w:pStyle w:val="NormalWeb"/>
        <w:shd w:val="clear" w:color="auto" w:fill="FFFFFF"/>
        <w:spacing w:before="0" w:beforeAutospacing="0" w:after="0" w:afterAutospacing="0"/>
        <w:ind w:left="46" w:right="38"/>
        <w:jc w:val="both"/>
        <w:rPr>
          <w:rFonts w:ascii="Arial" w:hAnsi="Arial" w:cs="Arial"/>
          <w:sz w:val="22"/>
          <w:szCs w:val="22"/>
        </w:rPr>
      </w:pPr>
      <w:r w:rsidRPr="008A482B">
        <w:rPr>
          <w:rFonts w:ascii="Arial" w:hAnsi="Arial" w:cs="Arial"/>
          <w:sz w:val="22"/>
          <w:szCs w:val="22"/>
          <w:lang w:val="es-ES"/>
        </w:rPr>
        <w:t> </w:t>
      </w:r>
    </w:p>
    <w:p w14:paraId="4CCB89BF" w14:textId="77777777" w:rsidR="0073551C" w:rsidRPr="008A482B" w:rsidRDefault="0073551C" w:rsidP="0073551C">
      <w:pPr>
        <w:pStyle w:val="NormalWeb"/>
        <w:shd w:val="clear" w:color="auto" w:fill="FFFFFF"/>
        <w:spacing w:before="0" w:beforeAutospacing="0" w:after="0" w:afterAutospacing="0"/>
        <w:ind w:right="38"/>
        <w:jc w:val="both"/>
        <w:rPr>
          <w:rFonts w:ascii="Arial" w:hAnsi="Arial" w:cs="Arial"/>
          <w:sz w:val="22"/>
          <w:szCs w:val="22"/>
        </w:rPr>
      </w:pPr>
      <w:r w:rsidRPr="008A482B">
        <w:rPr>
          <w:rFonts w:ascii="Arial" w:hAnsi="Arial" w:cs="Arial"/>
          <w:sz w:val="22"/>
          <w:szCs w:val="22"/>
          <w:lang w:val="es-ES"/>
        </w:rPr>
        <w:t xml:space="preserve">Por lo anterior, se concluye que la inclusión especial y taxativa dentro de la imprescriptibilidad de la acción penal para la conducta punible de homicidio contra los </w:t>
      </w:r>
      <w:r w:rsidRPr="008A482B">
        <w:rPr>
          <w:rFonts w:ascii="Arial" w:hAnsi="Arial" w:cs="Arial"/>
          <w:sz w:val="22"/>
          <w:szCs w:val="22"/>
          <w:lang w:val="es-ES"/>
        </w:rPr>
        <w:lastRenderedPageBreak/>
        <w:t xml:space="preserve">integrantes de la Fuerza Pública se enmarca dentro del trato diferenciado constitucional descrito, resultando conveniente, razonable y proporcional ante el constante riesgo que enfrentan los miembros de Fuerza Pública en razón de su actividad o por la simple representación de la institucionalidad, cuya reparación, protección y no repetición aunado al desgaste físico y emocional al que se someten las familias de los integrantes de la Fuerza Pública permitirá el acceso a la justicia sin distinción ni impunidad. </w:t>
      </w:r>
    </w:p>
    <w:p w14:paraId="37703C21" w14:textId="7019FF3D" w:rsidR="0073551C" w:rsidRDefault="0073551C" w:rsidP="0073551C">
      <w:pPr>
        <w:rPr>
          <w:rFonts w:ascii="Arial" w:eastAsia="Times New Roman" w:hAnsi="Arial" w:cs="Arial"/>
          <w:sz w:val="22"/>
          <w:szCs w:val="22"/>
          <w:lang w:eastAsia="es-CO"/>
        </w:rPr>
      </w:pPr>
    </w:p>
    <w:p w14:paraId="3061A8A5" w14:textId="77777777" w:rsidR="00DA7D10" w:rsidRPr="008A482B" w:rsidRDefault="00DA7D10" w:rsidP="0073551C">
      <w:pPr>
        <w:rPr>
          <w:rFonts w:ascii="Arial" w:eastAsia="Times New Roman" w:hAnsi="Arial" w:cs="Arial"/>
          <w:sz w:val="22"/>
          <w:szCs w:val="22"/>
          <w:lang w:eastAsia="es-CO"/>
        </w:rPr>
      </w:pPr>
    </w:p>
    <w:p w14:paraId="67BF8C5C" w14:textId="3D5CC13A" w:rsidR="0073551C" w:rsidRPr="00DA7D10" w:rsidRDefault="00DA7D10" w:rsidP="00DA7D10">
      <w:pPr>
        <w:pStyle w:val="Prrafodelista"/>
        <w:numPr>
          <w:ilvl w:val="0"/>
          <w:numId w:val="16"/>
        </w:numPr>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DERECHO COMPARADO Y CONVENIOS INTERNACIONALES</w:t>
      </w:r>
    </w:p>
    <w:p w14:paraId="3A78A57A" w14:textId="77777777" w:rsidR="0073551C" w:rsidRPr="008A482B" w:rsidRDefault="0073551C" w:rsidP="0073551C">
      <w:pPr>
        <w:rPr>
          <w:rFonts w:ascii="Arial" w:eastAsia="Times New Roman" w:hAnsi="Arial" w:cs="Arial"/>
          <w:b/>
          <w:bCs/>
          <w:sz w:val="22"/>
          <w:szCs w:val="22"/>
          <w:lang w:eastAsia="es-CO"/>
        </w:rPr>
      </w:pPr>
    </w:p>
    <w:p w14:paraId="4170FD0E" w14:textId="49807F1B" w:rsidR="0073551C" w:rsidRPr="008A482B" w:rsidRDefault="00DA7D10" w:rsidP="0073551C">
      <w:pPr>
        <w:rPr>
          <w:rFonts w:ascii="Arial" w:eastAsia="Times New Roman" w:hAnsi="Arial" w:cs="Arial"/>
          <w:b/>
          <w:bCs/>
          <w:sz w:val="22"/>
          <w:szCs w:val="22"/>
          <w:lang w:eastAsia="es-CO"/>
        </w:rPr>
      </w:pPr>
      <w:r>
        <w:rPr>
          <w:rFonts w:ascii="Arial" w:eastAsia="Times New Roman" w:hAnsi="Arial" w:cs="Arial"/>
          <w:b/>
          <w:bCs/>
          <w:sz w:val="22"/>
          <w:szCs w:val="22"/>
          <w:lang w:eastAsia="es-CO"/>
        </w:rPr>
        <w:t>3</w:t>
      </w:r>
      <w:r w:rsidR="0073551C" w:rsidRPr="008A482B">
        <w:rPr>
          <w:rFonts w:ascii="Arial" w:eastAsia="Times New Roman" w:hAnsi="Arial" w:cs="Arial"/>
          <w:b/>
          <w:bCs/>
          <w:sz w:val="22"/>
          <w:szCs w:val="22"/>
          <w:lang w:eastAsia="es-CO"/>
        </w:rPr>
        <w:t>.1</w:t>
      </w:r>
      <w:r w:rsidR="0073551C" w:rsidRPr="008A482B">
        <w:rPr>
          <w:rFonts w:ascii="Arial" w:eastAsia="Times New Roman" w:hAnsi="Arial" w:cs="Arial"/>
          <w:b/>
          <w:bCs/>
          <w:sz w:val="22"/>
          <w:szCs w:val="22"/>
          <w:lang w:eastAsia="es-CO"/>
        </w:rPr>
        <w:tab/>
        <w:t>Estatuto de Roma de la Corte Penal Internacional</w:t>
      </w:r>
    </w:p>
    <w:p w14:paraId="26A8E3B8" w14:textId="77777777" w:rsidR="0073551C" w:rsidRPr="008A482B" w:rsidRDefault="0073551C" w:rsidP="0073551C">
      <w:pPr>
        <w:rPr>
          <w:rFonts w:ascii="Arial" w:eastAsia="Times New Roman" w:hAnsi="Arial" w:cs="Arial"/>
          <w:b/>
          <w:bCs/>
          <w:sz w:val="22"/>
          <w:szCs w:val="22"/>
          <w:lang w:eastAsia="es-CO"/>
        </w:rPr>
      </w:pPr>
    </w:p>
    <w:p w14:paraId="3834D752"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Se trae a colación el Estatuto de Roma de la Corte Penal Internacional, dada la incorporación que se da dentro del ordenamiento jurídico nacional mediante la Ley 742 de 2002, con sentencia de constitucionalidad C-578 del mismo año, constituyendo un sistema jurídico de rango supranacional de carácter permanente e independiente que permite la investigación, la persecución y el castigo de aquellos delitos que por su naturaleza se consideran un atentado grave contra la totalidad del género humano.</w:t>
      </w:r>
    </w:p>
    <w:p w14:paraId="5E353795" w14:textId="77777777" w:rsidR="0073551C" w:rsidRPr="008A482B" w:rsidRDefault="0073551C" w:rsidP="00DA7D10">
      <w:pPr>
        <w:jc w:val="both"/>
        <w:rPr>
          <w:rFonts w:ascii="Arial" w:hAnsi="Arial" w:cs="Arial"/>
          <w:sz w:val="22"/>
          <w:szCs w:val="22"/>
        </w:rPr>
      </w:pPr>
    </w:p>
    <w:p w14:paraId="3AA24451"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Cabe resaltar que, el objetivo principal del Estatuto es terminar con la impunidad de los crímenes más serios, reiterando la obligación del Estado como miembro no sólo de investigar y perseguir, sino de castigar a los causantes de tales crímenes. Pese a esto, la misma Corte Constitucional en la Sentencia que evaluó el Tratado de Roma C-578 de 2002, señaló la constitucionalidad de posibles amnistías o indultos para futuros procesos de paz en Colombia, como el actual.</w:t>
      </w:r>
    </w:p>
    <w:p w14:paraId="7E23B48F" w14:textId="77777777" w:rsidR="0073551C" w:rsidRPr="008A482B" w:rsidRDefault="0073551C" w:rsidP="00DA7D10">
      <w:pPr>
        <w:jc w:val="both"/>
        <w:rPr>
          <w:rFonts w:ascii="Arial" w:hAnsi="Arial" w:cs="Arial"/>
          <w:sz w:val="22"/>
          <w:szCs w:val="22"/>
        </w:rPr>
      </w:pPr>
    </w:p>
    <w:p w14:paraId="3AD2C9AF"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Por ello, la falta de tipificación de los crímenes de lesa humanidad en Colombia de conformidad como los define el Estatuto de Roma ha llevado a que las autoridades judiciales apliquen de manera directa el Estatuto de Roma desconociendo el principio de legalidad o posibilitando que los responsables de la comisión de los crímenes de lesa humanidad sean juzgados de conformidad con los tipos penales clásicos o tradicionales que establece el Código Penal.</w:t>
      </w:r>
    </w:p>
    <w:p w14:paraId="4390229B" w14:textId="77777777" w:rsidR="0073551C" w:rsidRPr="008A482B" w:rsidRDefault="0073551C" w:rsidP="00DA7D10">
      <w:pPr>
        <w:jc w:val="both"/>
        <w:rPr>
          <w:rFonts w:ascii="Arial" w:eastAsia="Times New Roman" w:hAnsi="Arial" w:cs="Arial"/>
          <w:b/>
          <w:bCs/>
          <w:sz w:val="22"/>
          <w:szCs w:val="22"/>
          <w:lang w:eastAsia="es-CO"/>
        </w:rPr>
      </w:pPr>
    </w:p>
    <w:p w14:paraId="0B8C5A98"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Artículo 7 Crímenes de lesa humanidad 1. A los efectos del presente Estatuto, se entenderá por “crimen de lesa humanidad” cualquiera de los actos siguientes cuando se cometa como parte de un ataque generalizado o sistemático contra una población civil y con conocimiento de dicho ataque: a) Asesinato;</w:t>
      </w:r>
    </w:p>
    <w:p w14:paraId="227C3B3C" w14:textId="77777777" w:rsidR="0073551C" w:rsidRPr="008A482B" w:rsidRDefault="0073551C" w:rsidP="00DA7D10">
      <w:pPr>
        <w:jc w:val="both"/>
        <w:rPr>
          <w:rFonts w:ascii="Arial" w:hAnsi="Arial" w:cs="Arial"/>
          <w:sz w:val="22"/>
          <w:szCs w:val="22"/>
        </w:rPr>
      </w:pPr>
    </w:p>
    <w:p w14:paraId="12F92140"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A la luz del artículo 8 de la Corte Penal Internacional se establece un listado de infracciones graves, las cuales generan una responsabilidad internacional individual en cuanto a la realización de dichos delitos, siendo </w:t>
      </w:r>
      <w:r w:rsidRPr="008A482B">
        <w:rPr>
          <w:rFonts w:ascii="Arial" w:hAnsi="Arial" w:cs="Arial"/>
          <w:i/>
          <w:iCs/>
          <w:sz w:val="22"/>
          <w:szCs w:val="22"/>
        </w:rPr>
        <w:t>“(…) infracciones graves de los Convenios de Ginebra de 12 de agosto de 1949, a saber, cualquiera de los siguientes actos contra personas o bienes protegidos por las disposiciones del Convenio de Ginebra pertinente: i) El homicidio intencional;(…)”</w:t>
      </w:r>
    </w:p>
    <w:p w14:paraId="7A7D4D6B" w14:textId="77777777" w:rsidR="0073551C" w:rsidRPr="008A482B" w:rsidRDefault="0073551C" w:rsidP="00DA7D10">
      <w:pPr>
        <w:jc w:val="both"/>
        <w:rPr>
          <w:rFonts w:ascii="Arial" w:hAnsi="Arial" w:cs="Arial"/>
          <w:sz w:val="22"/>
          <w:szCs w:val="22"/>
        </w:rPr>
      </w:pPr>
    </w:p>
    <w:p w14:paraId="340FF26A"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Por tanto, el artículo 8 del Estatuto de Roma establece qué competencia tendrá respecto de los crímenes de guerra “cuando se cometan como parte de un plan o política o como parte de la comisión en gran escala de tales crímenes”. De igual forma, se encuentran taxativamente contempladas las infracciones y otras violaciones graves, como las ejecutadas en un conflicto armado internacional y/o en un conflicto armado no internacional.</w:t>
      </w:r>
    </w:p>
    <w:p w14:paraId="62D39FC0" w14:textId="77777777" w:rsidR="0073551C" w:rsidRPr="008A482B" w:rsidRDefault="0073551C" w:rsidP="00DA7D10">
      <w:pPr>
        <w:jc w:val="both"/>
        <w:rPr>
          <w:rFonts w:ascii="Arial" w:hAnsi="Arial" w:cs="Arial"/>
          <w:sz w:val="22"/>
          <w:szCs w:val="22"/>
        </w:rPr>
      </w:pPr>
    </w:p>
    <w:p w14:paraId="6BA48162"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lastRenderedPageBreak/>
        <w:t>Para la tipificación del delito de guerra se deben configurar una serie de elementos: que la conducta haya tenido lugar en el contexto de un conflicto armado y haya estado relacionada con él (conflictos armados internacionales en los apartados a) y del artículo 8, y conflicto armado de índole no internacional en los apartados c) y e) del mismo texto) y que el autor haya sido consciente de circunstancias de hecho que establecían la existencia de un conflicto armado.</w:t>
      </w:r>
    </w:p>
    <w:p w14:paraId="21047760" w14:textId="77777777" w:rsidR="0073551C" w:rsidRPr="008A482B" w:rsidRDefault="0073551C" w:rsidP="00DA7D10">
      <w:pPr>
        <w:jc w:val="both"/>
        <w:rPr>
          <w:rFonts w:ascii="Arial" w:hAnsi="Arial" w:cs="Arial"/>
          <w:sz w:val="22"/>
          <w:szCs w:val="22"/>
        </w:rPr>
      </w:pPr>
    </w:p>
    <w:p w14:paraId="43647192"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La legislación en cuanto a los crímenes de guerra ha avanzado progresivamente dejando atrás la impunidad frente a hechos cometidos por militares o personas habilitadas para realizar daño en un estado de guerra. Sin embargo, el menoscabo a las víctimas de estos delitos en cuanto a su salud física y mental ha formado una sociedad reprimida y vengativa contra la humanidad. Estos crímenes generan consecuencias no sólo para las naciones intervinientes sino a nivel mundial, ya que a pesar de la tipificación internacional y de la legislación interna de los países, de manera indiscriminada se siguen cometiendo estos actos de barbarie y crueldad. </w:t>
      </w:r>
    </w:p>
    <w:p w14:paraId="7F65C3C1" w14:textId="77777777" w:rsidR="0073551C" w:rsidRPr="008A482B" w:rsidRDefault="0073551C" w:rsidP="00DA7D10">
      <w:pPr>
        <w:jc w:val="both"/>
        <w:rPr>
          <w:rFonts w:ascii="Arial" w:hAnsi="Arial" w:cs="Arial"/>
          <w:sz w:val="22"/>
          <w:szCs w:val="22"/>
        </w:rPr>
      </w:pPr>
    </w:p>
    <w:p w14:paraId="7E13BB85"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De ahí la necesidad de incrementar el pie de fuerza con formación en Derechos Humanos y en Derecho Internacional Humanitario para alcanzar la mayor cobertura de principios y garantías contra las fuerzas ofensivas tanto en conflictos armados internacionales como en conflictos armados internos. De igual forma que los ejércitos sean garantes de la vida de sus propias tropas y de los civiles en cuanto son ellos quienes reciben directamente las consecuencias de los enfrentamientos.</w:t>
      </w:r>
    </w:p>
    <w:p w14:paraId="560DD99F" w14:textId="4DC4AD24" w:rsidR="0073551C" w:rsidRDefault="0073551C" w:rsidP="0073551C">
      <w:pPr>
        <w:rPr>
          <w:rFonts w:ascii="Arial" w:eastAsia="Times New Roman" w:hAnsi="Arial" w:cs="Arial"/>
          <w:b/>
          <w:bCs/>
          <w:sz w:val="22"/>
          <w:szCs w:val="22"/>
          <w:lang w:eastAsia="es-CO"/>
        </w:rPr>
      </w:pPr>
    </w:p>
    <w:p w14:paraId="0D33161F" w14:textId="77777777" w:rsidR="00DA7D10" w:rsidRPr="008A482B" w:rsidRDefault="00DA7D10" w:rsidP="0073551C">
      <w:pPr>
        <w:rPr>
          <w:rFonts w:ascii="Arial" w:eastAsia="Times New Roman" w:hAnsi="Arial" w:cs="Arial"/>
          <w:b/>
          <w:bCs/>
          <w:sz w:val="22"/>
          <w:szCs w:val="22"/>
          <w:lang w:eastAsia="es-CO"/>
        </w:rPr>
      </w:pPr>
    </w:p>
    <w:p w14:paraId="6C628FC9" w14:textId="4FCAA48B" w:rsidR="0073551C" w:rsidRPr="00DA7D10" w:rsidRDefault="00DA7D10" w:rsidP="00DA7D10">
      <w:pPr>
        <w:pStyle w:val="Prrafodelista"/>
        <w:numPr>
          <w:ilvl w:val="0"/>
          <w:numId w:val="16"/>
        </w:numPr>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CIFRAS DE AGRAVIOS A LA FUERZA PÚBLICA EN COLOMBIA Y EL FENÓMENO DE IMPUNIDAD</w:t>
      </w:r>
    </w:p>
    <w:p w14:paraId="1C3308DC" w14:textId="77777777" w:rsidR="0073551C" w:rsidRPr="008A482B" w:rsidRDefault="0073551C" w:rsidP="0073551C">
      <w:pPr>
        <w:rPr>
          <w:rFonts w:ascii="Arial" w:eastAsia="Times New Roman" w:hAnsi="Arial" w:cs="Arial"/>
          <w:b/>
          <w:bCs/>
          <w:sz w:val="22"/>
          <w:szCs w:val="22"/>
          <w:lang w:eastAsia="es-CO"/>
        </w:rPr>
      </w:pPr>
    </w:p>
    <w:p w14:paraId="6CE796B1" w14:textId="15F0B10B" w:rsidR="0073551C" w:rsidRPr="008A482B" w:rsidRDefault="00DA7D10" w:rsidP="0073551C">
      <w:pPr>
        <w:rPr>
          <w:rFonts w:ascii="Arial" w:eastAsia="Times New Roman" w:hAnsi="Arial" w:cs="Arial"/>
          <w:b/>
          <w:bCs/>
          <w:sz w:val="22"/>
          <w:szCs w:val="22"/>
          <w:lang w:eastAsia="es-CO"/>
        </w:rPr>
      </w:pPr>
      <w:r>
        <w:rPr>
          <w:rFonts w:ascii="Arial" w:eastAsia="Times New Roman" w:hAnsi="Arial" w:cs="Arial"/>
          <w:b/>
          <w:bCs/>
          <w:sz w:val="22"/>
          <w:szCs w:val="22"/>
          <w:lang w:eastAsia="es-CO"/>
        </w:rPr>
        <w:t>4</w:t>
      </w:r>
      <w:r w:rsidR="0073551C" w:rsidRPr="008A482B">
        <w:rPr>
          <w:rFonts w:ascii="Arial" w:eastAsia="Times New Roman" w:hAnsi="Arial" w:cs="Arial"/>
          <w:b/>
          <w:bCs/>
          <w:sz w:val="22"/>
          <w:szCs w:val="22"/>
          <w:lang w:eastAsia="es-CO"/>
        </w:rPr>
        <w:t>.1</w:t>
      </w:r>
      <w:r w:rsidR="0073551C" w:rsidRPr="008A482B">
        <w:rPr>
          <w:rFonts w:ascii="Arial" w:eastAsia="Times New Roman" w:hAnsi="Arial" w:cs="Arial"/>
          <w:b/>
          <w:bCs/>
          <w:sz w:val="22"/>
          <w:szCs w:val="22"/>
          <w:lang w:eastAsia="es-CO"/>
        </w:rPr>
        <w:tab/>
        <w:t>Asesinatos contra la Fuerza Pública desde el año 2000 al 2021</w:t>
      </w:r>
    </w:p>
    <w:p w14:paraId="0B8CFC0A" w14:textId="77777777" w:rsidR="0073551C" w:rsidRPr="008A482B" w:rsidRDefault="0073551C" w:rsidP="0073551C">
      <w:pPr>
        <w:rPr>
          <w:rFonts w:ascii="Arial" w:eastAsia="Times New Roman" w:hAnsi="Arial" w:cs="Arial"/>
          <w:sz w:val="22"/>
          <w:szCs w:val="22"/>
          <w:lang w:eastAsia="es-CO"/>
        </w:rPr>
      </w:pPr>
    </w:p>
    <w:p w14:paraId="3AADC94D"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Pese a los exorbitantes aumentos de homicidios contra la Fuerza Pública desde el 2002 al 2015, desde el 2000 a corte de diciembre de 2021, se han registrado 41.191 víctimas de la Fuerza Pública, 8.432 fueron asesinadas y 35.199 heridas.</w:t>
      </w:r>
    </w:p>
    <w:p w14:paraId="38105542" w14:textId="77777777" w:rsidR="0073551C" w:rsidRPr="008A482B" w:rsidRDefault="0073551C" w:rsidP="0073551C">
      <w:pPr>
        <w:rPr>
          <w:rFonts w:ascii="Arial" w:eastAsia="Times New Roman" w:hAnsi="Arial" w:cs="Arial"/>
          <w:sz w:val="22"/>
          <w:szCs w:val="22"/>
          <w:lang w:eastAsia="es-CO"/>
        </w:rPr>
      </w:pPr>
      <w:r w:rsidRPr="008A482B">
        <w:rPr>
          <w:rFonts w:ascii="Arial" w:eastAsia="Times New Roman" w:hAnsi="Arial" w:cs="Arial"/>
          <w:bCs/>
          <w:noProof/>
          <w:sz w:val="22"/>
          <w:szCs w:val="22"/>
          <w:lang w:eastAsia="es-CO"/>
        </w:rPr>
        <w:drawing>
          <wp:anchor distT="0" distB="0" distL="114300" distR="114300" simplePos="0" relativeHeight="251659264" behindDoc="1" locked="0" layoutInCell="1" allowOverlap="1" wp14:anchorId="0FFA9CB6" wp14:editId="1C5AB927">
            <wp:simplePos x="0" y="0"/>
            <wp:positionH relativeFrom="column">
              <wp:posOffset>520065</wp:posOffset>
            </wp:positionH>
            <wp:positionV relativeFrom="paragraph">
              <wp:posOffset>248285</wp:posOffset>
            </wp:positionV>
            <wp:extent cx="4162425" cy="2466975"/>
            <wp:effectExtent l="0" t="0" r="9525" b="9525"/>
            <wp:wrapTopAndBottom/>
            <wp:docPr id="7" name="Gráfico 7">
              <a:extLst xmlns:a="http://schemas.openxmlformats.org/drawingml/2006/main">
                <a:ext uri="{FF2B5EF4-FFF2-40B4-BE49-F238E27FC236}">
                  <a16:creationId xmlns:a16="http://schemas.microsoft.com/office/drawing/2014/main" id="{32DAEB5A-CD2F-4791-ADD3-0D11273C8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65A386FD" w14:textId="77777777" w:rsidR="0073551C" w:rsidRPr="008A482B" w:rsidRDefault="0073551C" w:rsidP="0073551C">
      <w:pPr>
        <w:rPr>
          <w:rFonts w:ascii="Arial" w:eastAsia="Times New Roman" w:hAnsi="Arial" w:cs="Arial"/>
          <w:bCs/>
          <w:sz w:val="22"/>
          <w:szCs w:val="22"/>
          <w:lang w:eastAsia="es-CO"/>
        </w:rPr>
      </w:pPr>
      <w:r w:rsidRPr="008A482B">
        <w:rPr>
          <w:rFonts w:ascii="Arial" w:eastAsia="Times New Roman" w:hAnsi="Arial" w:cs="Arial"/>
          <w:b/>
          <w:bCs/>
          <w:sz w:val="22"/>
          <w:szCs w:val="22"/>
          <w:lang w:eastAsia="es-CO"/>
        </w:rPr>
        <w:t>Fuente:</w:t>
      </w:r>
      <w:r w:rsidRPr="008A482B">
        <w:rPr>
          <w:rFonts w:ascii="Arial" w:eastAsia="Times New Roman" w:hAnsi="Arial" w:cs="Arial"/>
          <w:bCs/>
          <w:sz w:val="22"/>
          <w:szCs w:val="22"/>
          <w:lang w:eastAsia="es-CO"/>
        </w:rPr>
        <w:t xml:space="preserve"> elaboración propia (2022) a partir de datos de </w:t>
      </w:r>
      <w:proofErr w:type="spellStart"/>
      <w:r w:rsidRPr="008A482B">
        <w:rPr>
          <w:rFonts w:ascii="Arial" w:eastAsia="Times New Roman" w:hAnsi="Arial" w:cs="Arial"/>
          <w:bCs/>
          <w:sz w:val="22"/>
          <w:szCs w:val="22"/>
          <w:lang w:eastAsia="es-CO"/>
        </w:rPr>
        <w:t>Mindefensa</w:t>
      </w:r>
      <w:proofErr w:type="spellEnd"/>
      <w:r w:rsidRPr="008A482B">
        <w:rPr>
          <w:rFonts w:ascii="Arial" w:eastAsia="Times New Roman" w:hAnsi="Arial" w:cs="Arial"/>
          <w:bCs/>
          <w:sz w:val="22"/>
          <w:szCs w:val="22"/>
          <w:lang w:eastAsia="es-CO"/>
        </w:rPr>
        <w:t>.</w:t>
      </w:r>
    </w:p>
    <w:p w14:paraId="4D7E72B9" w14:textId="77777777" w:rsidR="0073551C" w:rsidRPr="008A482B" w:rsidRDefault="0073551C" w:rsidP="0073551C">
      <w:pPr>
        <w:rPr>
          <w:rFonts w:ascii="Arial" w:eastAsia="Times New Roman" w:hAnsi="Arial" w:cs="Arial"/>
          <w:bCs/>
          <w:sz w:val="22"/>
          <w:szCs w:val="22"/>
          <w:lang w:eastAsia="es-CO"/>
        </w:rPr>
      </w:pPr>
    </w:p>
    <w:p w14:paraId="070402BF"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lastRenderedPageBreak/>
        <w:t xml:space="preserve">En lo corrido del 2022, se han registrado 117 asesinatos contra nuestra Fuerza Pública a corte de 01 de agosto, a quienes han asesinado por razón del servicio y fuera de la prestación de su servicio, lo que representa más de la misma cifra de asesinatos cometidos durante todo el año 2016, la diferencia es que aún no se ha acabado el año 2022 y las cifras siguen subiendo. </w:t>
      </w:r>
    </w:p>
    <w:p w14:paraId="3FE9FD34" w14:textId="77777777" w:rsidR="0073551C" w:rsidRPr="008A482B" w:rsidRDefault="0073551C" w:rsidP="0073551C">
      <w:pPr>
        <w:rPr>
          <w:rFonts w:ascii="Arial" w:eastAsia="Times New Roman" w:hAnsi="Arial" w:cs="Arial"/>
          <w:bCs/>
          <w:sz w:val="22"/>
          <w:szCs w:val="22"/>
          <w:lang w:eastAsia="es-CO"/>
        </w:rPr>
      </w:pPr>
    </w:p>
    <w:tbl>
      <w:tblPr>
        <w:tblW w:w="7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1416"/>
        <w:gridCol w:w="1049"/>
        <w:gridCol w:w="1701"/>
        <w:gridCol w:w="1147"/>
      </w:tblGrid>
      <w:tr w:rsidR="0073551C" w:rsidRPr="008A482B" w14:paraId="5DCF419B" w14:textId="77777777" w:rsidTr="0073551C">
        <w:trPr>
          <w:trHeight w:val="585"/>
          <w:jc w:val="center"/>
        </w:trPr>
        <w:tc>
          <w:tcPr>
            <w:tcW w:w="2326" w:type="dxa"/>
          </w:tcPr>
          <w:p w14:paraId="0EA386FD"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 </w:t>
            </w:r>
          </w:p>
        </w:tc>
        <w:tc>
          <w:tcPr>
            <w:tcW w:w="1416" w:type="dxa"/>
          </w:tcPr>
          <w:p w14:paraId="327E5C3F"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Asesinados</w:t>
            </w:r>
          </w:p>
        </w:tc>
        <w:tc>
          <w:tcPr>
            <w:tcW w:w="1049" w:type="dxa"/>
          </w:tcPr>
          <w:p w14:paraId="34A5A98A"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Heridos</w:t>
            </w:r>
          </w:p>
        </w:tc>
        <w:tc>
          <w:tcPr>
            <w:tcW w:w="1701" w:type="dxa"/>
          </w:tcPr>
          <w:p w14:paraId="5265E601"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 xml:space="preserve">Secuestrados/ Desaparecidos </w:t>
            </w:r>
          </w:p>
        </w:tc>
        <w:tc>
          <w:tcPr>
            <w:tcW w:w="1147" w:type="dxa"/>
          </w:tcPr>
          <w:p w14:paraId="2A358A28"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Total</w:t>
            </w:r>
          </w:p>
          <w:p w14:paraId="6301F98B"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Victimas</w:t>
            </w:r>
          </w:p>
        </w:tc>
      </w:tr>
      <w:tr w:rsidR="0073551C" w:rsidRPr="008A482B" w14:paraId="33C35424" w14:textId="77777777" w:rsidTr="0073551C">
        <w:trPr>
          <w:trHeight w:val="317"/>
          <w:jc w:val="center"/>
        </w:trPr>
        <w:tc>
          <w:tcPr>
            <w:tcW w:w="2326" w:type="dxa"/>
          </w:tcPr>
          <w:p w14:paraId="7314B7AA"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Ejército Nacional</w:t>
            </w:r>
          </w:p>
        </w:tc>
        <w:tc>
          <w:tcPr>
            <w:tcW w:w="1416" w:type="dxa"/>
          </w:tcPr>
          <w:p w14:paraId="7CD6E539"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66</w:t>
            </w:r>
          </w:p>
        </w:tc>
        <w:tc>
          <w:tcPr>
            <w:tcW w:w="1049" w:type="dxa"/>
          </w:tcPr>
          <w:p w14:paraId="5B24AE45"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153</w:t>
            </w:r>
          </w:p>
        </w:tc>
        <w:tc>
          <w:tcPr>
            <w:tcW w:w="1701" w:type="dxa"/>
          </w:tcPr>
          <w:p w14:paraId="293E82EE"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4</w:t>
            </w:r>
          </w:p>
        </w:tc>
        <w:tc>
          <w:tcPr>
            <w:tcW w:w="1147" w:type="dxa"/>
          </w:tcPr>
          <w:p w14:paraId="5E31B395"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223</w:t>
            </w:r>
          </w:p>
        </w:tc>
      </w:tr>
      <w:tr w:rsidR="0073551C" w:rsidRPr="008A482B" w14:paraId="7B7FD496" w14:textId="77777777" w:rsidTr="0073551C">
        <w:trPr>
          <w:trHeight w:val="317"/>
          <w:jc w:val="center"/>
        </w:trPr>
        <w:tc>
          <w:tcPr>
            <w:tcW w:w="2326" w:type="dxa"/>
          </w:tcPr>
          <w:p w14:paraId="677FA9F7"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Fuerza Aérea</w:t>
            </w:r>
          </w:p>
        </w:tc>
        <w:tc>
          <w:tcPr>
            <w:tcW w:w="1416" w:type="dxa"/>
          </w:tcPr>
          <w:p w14:paraId="27A84E1C"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0</w:t>
            </w:r>
          </w:p>
        </w:tc>
        <w:tc>
          <w:tcPr>
            <w:tcW w:w="1049" w:type="dxa"/>
          </w:tcPr>
          <w:p w14:paraId="7EC958CB"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0</w:t>
            </w:r>
          </w:p>
        </w:tc>
        <w:tc>
          <w:tcPr>
            <w:tcW w:w="1701" w:type="dxa"/>
          </w:tcPr>
          <w:p w14:paraId="0D604EAC"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0</w:t>
            </w:r>
          </w:p>
        </w:tc>
        <w:tc>
          <w:tcPr>
            <w:tcW w:w="1147" w:type="dxa"/>
          </w:tcPr>
          <w:p w14:paraId="42B6D7C1"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0</w:t>
            </w:r>
          </w:p>
        </w:tc>
      </w:tr>
      <w:tr w:rsidR="0073551C" w:rsidRPr="008A482B" w14:paraId="26678E29" w14:textId="77777777" w:rsidTr="0073551C">
        <w:trPr>
          <w:trHeight w:val="301"/>
          <w:jc w:val="center"/>
        </w:trPr>
        <w:tc>
          <w:tcPr>
            <w:tcW w:w="2326" w:type="dxa"/>
          </w:tcPr>
          <w:p w14:paraId="720B77A6"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Armada Nacional</w:t>
            </w:r>
          </w:p>
        </w:tc>
        <w:tc>
          <w:tcPr>
            <w:tcW w:w="1416" w:type="dxa"/>
          </w:tcPr>
          <w:p w14:paraId="3CFA1091"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1</w:t>
            </w:r>
          </w:p>
        </w:tc>
        <w:tc>
          <w:tcPr>
            <w:tcW w:w="1049" w:type="dxa"/>
          </w:tcPr>
          <w:p w14:paraId="605A6EDA"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4</w:t>
            </w:r>
          </w:p>
        </w:tc>
        <w:tc>
          <w:tcPr>
            <w:tcW w:w="1701" w:type="dxa"/>
          </w:tcPr>
          <w:p w14:paraId="085B9BC8"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0</w:t>
            </w:r>
          </w:p>
        </w:tc>
        <w:tc>
          <w:tcPr>
            <w:tcW w:w="1147" w:type="dxa"/>
          </w:tcPr>
          <w:p w14:paraId="3D74016D"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5</w:t>
            </w:r>
          </w:p>
        </w:tc>
      </w:tr>
      <w:tr w:rsidR="0073551C" w:rsidRPr="008A482B" w14:paraId="531802BD" w14:textId="77777777" w:rsidTr="0073551C">
        <w:trPr>
          <w:trHeight w:val="301"/>
          <w:jc w:val="center"/>
        </w:trPr>
        <w:tc>
          <w:tcPr>
            <w:tcW w:w="2326" w:type="dxa"/>
          </w:tcPr>
          <w:p w14:paraId="6DC59362"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Policía Nacional</w:t>
            </w:r>
          </w:p>
        </w:tc>
        <w:tc>
          <w:tcPr>
            <w:tcW w:w="1416" w:type="dxa"/>
          </w:tcPr>
          <w:p w14:paraId="4FB4044C"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50</w:t>
            </w:r>
          </w:p>
        </w:tc>
        <w:tc>
          <w:tcPr>
            <w:tcW w:w="1049" w:type="dxa"/>
          </w:tcPr>
          <w:p w14:paraId="4815AE73"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239</w:t>
            </w:r>
          </w:p>
        </w:tc>
        <w:tc>
          <w:tcPr>
            <w:tcW w:w="1701" w:type="dxa"/>
          </w:tcPr>
          <w:p w14:paraId="02D25FA0"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2</w:t>
            </w:r>
          </w:p>
        </w:tc>
        <w:tc>
          <w:tcPr>
            <w:tcW w:w="1147" w:type="dxa"/>
          </w:tcPr>
          <w:p w14:paraId="5BAB3B8A" w14:textId="77777777" w:rsidR="0073551C" w:rsidRPr="008A482B" w:rsidRDefault="0073551C" w:rsidP="0073551C">
            <w:pPr>
              <w:jc w:val="center"/>
              <w:rPr>
                <w:rFonts w:ascii="Arial" w:hAnsi="Arial" w:cs="Arial"/>
                <w:sz w:val="22"/>
                <w:szCs w:val="22"/>
              </w:rPr>
            </w:pPr>
            <w:r w:rsidRPr="008A482B">
              <w:rPr>
                <w:rFonts w:ascii="Arial" w:hAnsi="Arial" w:cs="Arial"/>
                <w:sz w:val="22"/>
                <w:szCs w:val="22"/>
              </w:rPr>
              <w:t>291</w:t>
            </w:r>
          </w:p>
        </w:tc>
      </w:tr>
      <w:tr w:rsidR="0073551C" w:rsidRPr="008A482B" w14:paraId="4B8D8B17" w14:textId="77777777" w:rsidTr="0073551C">
        <w:trPr>
          <w:trHeight w:val="301"/>
          <w:jc w:val="center"/>
        </w:trPr>
        <w:tc>
          <w:tcPr>
            <w:tcW w:w="2326" w:type="dxa"/>
          </w:tcPr>
          <w:p w14:paraId="5B2DE2D4"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Total</w:t>
            </w:r>
          </w:p>
        </w:tc>
        <w:tc>
          <w:tcPr>
            <w:tcW w:w="1416" w:type="dxa"/>
          </w:tcPr>
          <w:p w14:paraId="0A63B483"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117</w:t>
            </w:r>
          </w:p>
        </w:tc>
        <w:tc>
          <w:tcPr>
            <w:tcW w:w="1049" w:type="dxa"/>
          </w:tcPr>
          <w:p w14:paraId="2E10C2BC"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396</w:t>
            </w:r>
          </w:p>
        </w:tc>
        <w:tc>
          <w:tcPr>
            <w:tcW w:w="1701" w:type="dxa"/>
          </w:tcPr>
          <w:p w14:paraId="540B622A" w14:textId="77777777" w:rsidR="0073551C" w:rsidRPr="008A482B" w:rsidRDefault="0073551C" w:rsidP="0073551C">
            <w:pPr>
              <w:jc w:val="center"/>
              <w:rPr>
                <w:rFonts w:ascii="Arial" w:hAnsi="Arial" w:cs="Arial"/>
                <w:b/>
                <w:bCs/>
                <w:sz w:val="22"/>
                <w:szCs w:val="22"/>
              </w:rPr>
            </w:pPr>
            <w:r w:rsidRPr="008A482B">
              <w:rPr>
                <w:rFonts w:ascii="Arial" w:hAnsi="Arial" w:cs="Arial"/>
                <w:b/>
                <w:bCs/>
                <w:sz w:val="22"/>
                <w:szCs w:val="22"/>
              </w:rPr>
              <w:t>6</w:t>
            </w:r>
          </w:p>
        </w:tc>
        <w:tc>
          <w:tcPr>
            <w:tcW w:w="1147" w:type="dxa"/>
          </w:tcPr>
          <w:p w14:paraId="53C1C41E" w14:textId="77777777" w:rsidR="0073551C" w:rsidRPr="008A482B" w:rsidRDefault="0073551C" w:rsidP="0073551C">
            <w:pPr>
              <w:jc w:val="center"/>
              <w:rPr>
                <w:rFonts w:ascii="Arial" w:hAnsi="Arial" w:cs="Arial"/>
                <w:b/>
                <w:sz w:val="22"/>
                <w:szCs w:val="22"/>
              </w:rPr>
            </w:pPr>
            <w:r w:rsidRPr="008A482B">
              <w:rPr>
                <w:rFonts w:ascii="Arial" w:hAnsi="Arial" w:cs="Arial"/>
                <w:b/>
                <w:sz w:val="22"/>
                <w:szCs w:val="22"/>
              </w:rPr>
              <w:t>519</w:t>
            </w:r>
          </w:p>
        </w:tc>
      </w:tr>
    </w:tbl>
    <w:p w14:paraId="101DC32E" w14:textId="77777777" w:rsidR="0073551C" w:rsidRPr="008A482B" w:rsidRDefault="0073551C" w:rsidP="0073551C">
      <w:pPr>
        <w:rPr>
          <w:rFonts w:ascii="Arial" w:eastAsia="Times New Roman" w:hAnsi="Arial" w:cs="Arial"/>
          <w:bCs/>
          <w:sz w:val="22"/>
          <w:szCs w:val="22"/>
          <w:lang w:eastAsia="es-CO"/>
        </w:rPr>
      </w:pPr>
    </w:p>
    <w:p w14:paraId="60D57CAC"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
          <w:sz w:val="22"/>
          <w:szCs w:val="22"/>
          <w:lang w:eastAsia="es-CO"/>
        </w:rPr>
        <w:t>Fuente:</w:t>
      </w:r>
      <w:r w:rsidRPr="008A482B">
        <w:rPr>
          <w:rFonts w:ascii="Arial" w:eastAsia="Times New Roman" w:hAnsi="Arial" w:cs="Arial"/>
          <w:bCs/>
          <w:sz w:val="22"/>
          <w:szCs w:val="22"/>
          <w:lang w:eastAsia="es-CO"/>
        </w:rPr>
        <w:t xml:space="preserve"> Elaboración propia (2022) conforme a las noticias oficiales.</w:t>
      </w:r>
    </w:p>
    <w:p w14:paraId="791CBED4" w14:textId="77777777" w:rsidR="0073551C" w:rsidRPr="008A482B" w:rsidRDefault="0073551C" w:rsidP="00DA7D10">
      <w:pPr>
        <w:jc w:val="both"/>
        <w:rPr>
          <w:rFonts w:ascii="Arial" w:eastAsia="Times New Roman" w:hAnsi="Arial" w:cs="Arial"/>
          <w:bCs/>
          <w:sz w:val="22"/>
          <w:szCs w:val="22"/>
          <w:lang w:eastAsia="es-CO"/>
        </w:rPr>
      </w:pPr>
    </w:p>
    <w:p w14:paraId="5ED1BDE1"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No obstante, los datos de violencia cometidos contra integrantes de la Fuerza Pública comprendidos entre 1964 y 2018, no corresponden a crímenes cometidos de manera aislada sino a delitos que se cometieron de manera constante, conforme lo revela el informe del 15 de marzo de 2022, “Caminando hacia la verdad: verdad y dolor”</w:t>
      </w:r>
      <w:r w:rsidRPr="008A482B">
        <w:rPr>
          <w:rStyle w:val="Refdenotaalpie"/>
          <w:rFonts w:ascii="Arial" w:eastAsia="Times New Roman" w:hAnsi="Arial" w:cs="Arial"/>
          <w:bCs/>
          <w:sz w:val="22"/>
          <w:szCs w:val="22"/>
          <w:lang w:eastAsia="es-CO"/>
        </w:rPr>
        <w:footnoteReference w:id="4"/>
      </w:r>
      <w:r w:rsidRPr="008A482B">
        <w:rPr>
          <w:rFonts w:ascii="Arial" w:eastAsia="Times New Roman" w:hAnsi="Arial" w:cs="Arial"/>
          <w:bCs/>
          <w:sz w:val="22"/>
          <w:szCs w:val="22"/>
          <w:lang w:eastAsia="es-CO"/>
        </w:rPr>
        <w:t xml:space="preserve"> presentado por el Ministerio de Defensa ante la Jurisdicción Especial para la Paz y la Comisión de la Verdad, donde se revela que hay 403.352 miembros de la Fuerza Pública, víctimas de crímenes de guerra, quienes hacen parte de las más de 9 millones de víctimas que ha dejado el conflicto y la confrontación en Colombia en las últimas décadas.</w:t>
      </w:r>
    </w:p>
    <w:p w14:paraId="2F6E4C1D" w14:textId="77777777" w:rsidR="0073551C" w:rsidRPr="008A482B" w:rsidRDefault="0073551C" w:rsidP="00DA7D10">
      <w:pPr>
        <w:jc w:val="both"/>
        <w:rPr>
          <w:rFonts w:ascii="Arial" w:eastAsia="Times New Roman" w:hAnsi="Arial" w:cs="Arial"/>
          <w:bCs/>
          <w:sz w:val="22"/>
          <w:szCs w:val="22"/>
          <w:lang w:eastAsia="es-CO"/>
        </w:rPr>
      </w:pPr>
    </w:p>
    <w:p w14:paraId="356AB32D"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 xml:space="preserve">De acuerdo con el Informe “Aporte a la Verdad: Contexto de la Fuerza Pública para la memoria histórica” del Ministerio de la Defensa Nacional, 9.789.921 personas han sido incluidos como víctimas en el Registro Único Víctimas (RUV), que corresponden a 10.258.563 hechos </w:t>
      </w:r>
      <w:proofErr w:type="spellStart"/>
      <w:r w:rsidRPr="008A482B">
        <w:rPr>
          <w:rFonts w:ascii="Arial" w:eastAsia="Times New Roman" w:hAnsi="Arial" w:cs="Arial"/>
          <w:bCs/>
          <w:sz w:val="22"/>
          <w:szCs w:val="22"/>
          <w:lang w:eastAsia="es-CO"/>
        </w:rPr>
        <w:t>victimizantes</w:t>
      </w:r>
      <w:proofErr w:type="spellEnd"/>
      <w:r w:rsidRPr="008A482B">
        <w:rPr>
          <w:rFonts w:ascii="Arial" w:eastAsia="Times New Roman" w:hAnsi="Arial" w:cs="Arial"/>
          <w:bCs/>
          <w:sz w:val="22"/>
          <w:szCs w:val="22"/>
          <w:lang w:eastAsia="es-CO"/>
        </w:rPr>
        <w:t xml:space="preserve"> individuales, lo que en promedio indica que cada víctima sufrió más de un hecho </w:t>
      </w:r>
      <w:proofErr w:type="spellStart"/>
      <w:r w:rsidRPr="008A482B">
        <w:rPr>
          <w:rFonts w:ascii="Arial" w:eastAsia="Times New Roman" w:hAnsi="Arial" w:cs="Arial"/>
          <w:bCs/>
          <w:sz w:val="22"/>
          <w:szCs w:val="22"/>
          <w:lang w:eastAsia="es-CO"/>
        </w:rPr>
        <w:t>victimizante</w:t>
      </w:r>
      <w:proofErr w:type="spellEnd"/>
      <w:r w:rsidRPr="008A482B">
        <w:rPr>
          <w:rFonts w:ascii="Arial" w:eastAsia="Times New Roman" w:hAnsi="Arial" w:cs="Arial"/>
          <w:bCs/>
          <w:sz w:val="22"/>
          <w:szCs w:val="22"/>
          <w:lang w:eastAsia="es-CO"/>
        </w:rPr>
        <w:t>. Del total de víctimas, el 4,7 % (468.642) corresponden a miembros de la Fuerza Pública.</w:t>
      </w:r>
    </w:p>
    <w:p w14:paraId="5968997E" w14:textId="77777777" w:rsidR="0073551C" w:rsidRPr="008A482B" w:rsidRDefault="0073551C" w:rsidP="00DA7D10">
      <w:pPr>
        <w:jc w:val="both"/>
        <w:rPr>
          <w:rFonts w:ascii="Arial" w:eastAsia="Times New Roman" w:hAnsi="Arial" w:cs="Arial"/>
          <w:bCs/>
          <w:sz w:val="22"/>
          <w:szCs w:val="22"/>
          <w:lang w:eastAsia="es-CO"/>
        </w:rPr>
      </w:pPr>
    </w:p>
    <w:p w14:paraId="1CD54FF1"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En este mismo informe, se evidencia que, de los 403.352 miembros de la Fuerza Pública, 332.372 militares y 70.980 policías, han sido víctimas de los crímenes de guerra cometidos por las FARC, lo que representa que el 86.06% de las víctimas de la Fuerza Pública son por actos cometidos por las FARC.</w:t>
      </w:r>
    </w:p>
    <w:p w14:paraId="3E6889DF" w14:textId="77777777" w:rsidR="0073551C" w:rsidRPr="008A482B" w:rsidRDefault="0073551C" w:rsidP="00DA7D10">
      <w:pPr>
        <w:jc w:val="both"/>
        <w:rPr>
          <w:rFonts w:ascii="Arial" w:eastAsia="Times New Roman" w:hAnsi="Arial" w:cs="Arial"/>
          <w:bCs/>
          <w:sz w:val="22"/>
          <w:szCs w:val="22"/>
          <w:lang w:eastAsia="es-CO"/>
        </w:rPr>
      </w:pPr>
    </w:p>
    <w:p w14:paraId="4B7E0821"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 xml:space="preserve">El desplazamiento forzado es el hecho </w:t>
      </w:r>
      <w:proofErr w:type="spellStart"/>
      <w:r w:rsidRPr="008A482B">
        <w:rPr>
          <w:rFonts w:ascii="Arial" w:eastAsia="Times New Roman" w:hAnsi="Arial" w:cs="Arial"/>
          <w:bCs/>
          <w:sz w:val="22"/>
          <w:szCs w:val="22"/>
          <w:lang w:eastAsia="es-CO"/>
        </w:rPr>
        <w:t>victimizante</w:t>
      </w:r>
      <w:proofErr w:type="spellEnd"/>
      <w:r w:rsidRPr="008A482B">
        <w:rPr>
          <w:rFonts w:ascii="Arial" w:eastAsia="Times New Roman" w:hAnsi="Arial" w:cs="Arial"/>
          <w:bCs/>
          <w:sz w:val="22"/>
          <w:szCs w:val="22"/>
          <w:lang w:eastAsia="es-CO"/>
        </w:rPr>
        <w:t xml:space="preserve"> más representativo tanto entre miembros de la Fuerza Pública con cifras 352.976 personas; el segundo hecho </w:t>
      </w:r>
      <w:proofErr w:type="spellStart"/>
      <w:r w:rsidRPr="008A482B">
        <w:rPr>
          <w:rFonts w:ascii="Arial" w:eastAsia="Times New Roman" w:hAnsi="Arial" w:cs="Arial"/>
          <w:bCs/>
          <w:sz w:val="22"/>
          <w:szCs w:val="22"/>
          <w:lang w:eastAsia="es-CO"/>
        </w:rPr>
        <w:t>victimizante</w:t>
      </w:r>
      <w:proofErr w:type="spellEnd"/>
      <w:r w:rsidRPr="008A482B">
        <w:rPr>
          <w:rFonts w:ascii="Arial" w:eastAsia="Times New Roman" w:hAnsi="Arial" w:cs="Arial"/>
          <w:bCs/>
          <w:sz w:val="22"/>
          <w:szCs w:val="22"/>
          <w:lang w:eastAsia="es-CO"/>
        </w:rPr>
        <w:t xml:space="preserve"> más recurrente es el homicidio, presentándose con 48.492 casos de miembros de la Fuerza Pública; y en tercer lugar se encuentra el hecho </w:t>
      </w:r>
      <w:proofErr w:type="spellStart"/>
      <w:r w:rsidRPr="008A482B">
        <w:rPr>
          <w:rFonts w:ascii="Arial" w:eastAsia="Times New Roman" w:hAnsi="Arial" w:cs="Arial"/>
          <w:bCs/>
          <w:sz w:val="22"/>
          <w:szCs w:val="22"/>
          <w:lang w:eastAsia="es-CO"/>
        </w:rPr>
        <w:t>victimizante</w:t>
      </w:r>
      <w:proofErr w:type="spellEnd"/>
      <w:r w:rsidRPr="008A482B">
        <w:rPr>
          <w:rFonts w:ascii="Arial" w:eastAsia="Times New Roman" w:hAnsi="Arial" w:cs="Arial"/>
          <w:bCs/>
          <w:sz w:val="22"/>
          <w:szCs w:val="22"/>
          <w:lang w:eastAsia="es-CO"/>
        </w:rPr>
        <w:t xml:space="preserve"> de amenaza, con 28.420 casos entre los miembros de las Fuerzas</w:t>
      </w:r>
    </w:p>
    <w:p w14:paraId="3D0AA4D8" w14:textId="77777777" w:rsidR="0073551C" w:rsidRPr="008A482B" w:rsidRDefault="0073551C" w:rsidP="0073551C">
      <w:pPr>
        <w:rPr>
          <w:rFonts w:ascii="Arial" w:eastAsia="Times New Roman" w:hAnsi="Arial" w:cs="Arial"/>
          <w:b/>
          <w:sz w:val="22"/>
          <w:szCs w:val="22"/>
          <w:lang w:eastAsia="es-CO"/>
        </w:rPr>
      </w:pPr>
    </w:p>
    <w:p w14:paraId="5C62B78D" w14:textId="0455E603" w:rsidR="0073551C" w:rsidRPr="008A482B" w:rsidRDefault="00DA7D10" w:rsidP="0073551C">
      <w:pPr>
        <w:rPr>
          <w:rFonts w:ascii="Arial" w:eastAsia="Times New Roman" w:hAnsi="Arial" w:cs="Arial"/>
          <w:b/>
          <w:sz w:val="22"/>
          <w:szCs w:val="22"/>
          <w:lang w:eastAsia="es-CO"/>
        </w:rPr>
      </w:pPr>
      <w:r>
        <w:rPr>
          <w:rFonts w:ascii="Arial" w:eastAsia="Times New Roman" w:hAnsi="Arial" w:cs="Arial"/>
          <w:b/>
          <w:sz w:val="22"/>
          <w:szCs w:val="22"/>
          <w:lang w:eastAsia="es-CO"/>
        </w:rPr>
        <w:t>4</w:t>
      </w:r>
      <w:r w:rsidR="0073551C" w:rsidRPr="008A482B">
        <w:rPr>
          <w:rFonts w:ascii="Arial" w:eastAsia="Times New Roman" w:hAnsi="Arial" w:cs="Arial"/>
          <w:b/>
          <w:sz w:val="22"/>
          <w:szCs w:val="22"/>
          <w:lang w:eastAsia="es-CO"/>
        </w:rPr>
        <w:t>.2</w:t>
      </w:r>
      <w:r w:rsidR="0073551C" w:rsidRPr="008A482B">
        <w:rPr>
          <w:rFonts w:ascii="Arial" w:eastAsia="Times New Roman" w:hAnsi="Arial" w:cs="Arial"/>
          <w:b/>
          <w:sz w:val="22"/>
          <w:szCs w:val="22"/>
          <w:lang w:eastAsia="es-CO"/>
        </w:rPr>
        <w:tab/>
        <w:t>El “Plan Pistola”</w:t>
      </w:r>
    </w:p>
    <w:p w14:paraId="52288832" w14:textId="77777777" w:rsidR="0073551C" w:rsidRPr="008A482B" w:rsidRDefault="0073551C" w:rsidP="0073551C">
      <w:pPr>
        <w:rPr>
          <w:rFonts w:ascii="Arial" w:eastAsia="Times New Roman" w:hAnsi="Arial" w:cs="Arial"/>
          <w:b/>
          <w:sz w:val="22"/>
          <w:szCs w:val="22"/>
          <w:lang w:eastAsia="es-CO"/>
        </w:rPr>
      </w:pPr>
    </w:p>
    <w:p w14:paraId="77FDB62F"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lastRenderedPageBreak/>
        <w:t>A pesar de lo anterior, actualmente en Colombia</w:t>
      </w:r>
      <w:r w:rsidRPr="008A482B">
        <w:rPr>
          <w:rStyle w:val="Refdenotaalpie"/>
          <w:rFonts w:ascii="Arial" w:eastAsia="Times New Roman" w:hAnsi="Arial" w:cs="Arial"/>
          <w:sz w:val="22"/>
          <w:szCs w:val="22"/>
          <w:lang w:eastAsia="es-CO"/>
        </w:rPr>
        <w:footnoteReference w:id="5"/>
      </w:r>
      <w:r w:rsidRPr="008A482B">
        <w:rPr>
          <w:rFonts w:ascii="Arial" w:eastAsia="Times New Roman" w:hAnsi="Arial" w:cs="Arial"/>
          <w:sz w:val="22"/>
          <w:szCs w:val="22"/>
          <w:lang w:eastAsia="es-CO"/>
        </w:rPr>
        <w:t xml:space="preserve"> la estructura narcotraficante está pagando entre 5 y 20 millones de pesos por asesinar uniformados. Por información de inteligencia se logró establecer que el Clan del Golfo está reclutando a hombres experimentados que pertenecieron a la extinta guerrilla de las Farc para asesinar policías, cuya intención es ubicar unidades especiales de la Dirección de Carabineros que están siendo entrenadas con una gran capacidad táctica, con armamento que nosotros los policías podemos utilizar sin ningún inconveniente en áreas urbanas y rurales.</w:t>
      </w:r>
    </w:p>
    <w:p w14:paraId="5B4328FA" w14:textId="77777777" w:rsidR="0073551C" w:rsidRPr="008A482B" w:rsidRDefault="0073551C" w:rsidP="00DA7D10">
      <w:pPr>
        <w:jc w:val="both"/>
        <w:rPr>
          <w:rFonts w:ascii="Arial" w:eastAsia="Times New Roman" w:hAnsi="Arial" w:cs="Arial"/>
          <w:sz w:val="22"/>
          <w:szCs w:val="22"/>
          <w:lang w:eastAsia="es-CO"/>
        </w:rPr>
      </w:pPr>
    </w:p>
    <w:p w14:paraId="3A87DB0F"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Por si fuera poco, se reveló por parte del Ministerio de Defensa que, a la fecha el Clan del Golfo pretende ejecutar un nuevo paro armado en cinco departamentos, siendo 82 municipios declarados en riesgo por posibles ataques contra miembros de la Fuerza Pública, y que los departamentos donde se llevaría a cabo el próximo paro armado son Sucre, Bolívar, Córdoba, Antioquia y César. Dicho paro armado o constreñimiento a la movilidad, tiene como propósito posicionarse políticamente para futuras negociaciones y ponerle condiciones al nuevo gobierno con el fin de recibir beneficios en amnistías, indultos a sus actividades criminales y que potencialmente depende de los resultados podrían quedar en impunidad.</w:t>
      </w:r>
    </w:p>
    <w:p w14:paraId="08EB98EE" w14:textId="77777777" w:rsidR="0073551C" w:rsidRPr="008A482B" w:rsidRDefault="0073551C" w:rsidP="00DA7D10">
      <w:pPr>
        <w:jc w:val="both"/>
        <w:rPr>
          <w:rFonts w:ascii="Arial" w:eastAsia="Times New Roman" w:hAnsi="Arial" w:cs="Arial"/>
          <w:sz w:val="22"/>
          <w:szCs w:val="22"/>
          <w:lang w:eastAsia="es-CO"/>
        </w:rPr>
      </w:pPr>
    </w:p>
    <w:p w14:paraId="5156AB11"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A la fecha, ya han sido desplegados 800 miembros nuevos de nuestra Policía Nacional, 600 miembros de la Policía que llegan a ser protección de la Policía de Carabineros en los principales municipios afectados en los departamentos de Sucre, Bolívar, Córdoba y en el sur de Cesar y en el Urabá antioqueño, además de 1.000 hombres adicionales de nuestras Fuerzas Militares, 350 del Ejército para el sur de Cesar y Bolívar y 650 hombres de la Armada para las sabanas de Sucre y para las zonas relacionadas con los Montes de María. Es decir, el país tiene 2.400 uniformados en riesgo protegiendo a otros más en las mismas condiciones.</w:t>
      </w:r>
    </w:p>
    <w:p w14:paraId="04ED8565" w14:textId="77777777" w:rsidR="0073551C" w:rsidRPr="008A482B" w:rsidRDefault="0073551C" w:rsidP="00DA7D10">
      <w:pPr>
        <w:jc w:val="both"/>
        <w:rPr>
          <w:rFonts w:ascii="Arial" w:eastAsia="Times New Roman" w:hAnsi="Arial" w:cs="Arial"/>
          <w:sz w:val="22"/>
          <w:szCs w:val="22"/>
          <w:lang w:eastAsia="es-CO"/>
        </w:rPr>
      </w:pPr>
    </w:p>
    <w:p w14:paraId="27231B7B"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Cabe recordar que, el último paro armado del Clan del Golfo se presentó en el mes de mayo de la anualidad, en donde 5 departamentos vivieron situaciones críticas en materia de seguridad, tras las acciones violentas de los integrantes de la estructura narcotraficante, que reaccionaron de manera armada luego de la extradición de su cabecilla alias Otoniel, a los Estados Unidos.</w:t>
      </w:r>
    </w:p>
    <w:p w14:paraId="08E20279" w14:textId="77777777" w:rsidR="0073551C" w:rsidRPr="008A482B" w:rsidRDefault="0073551C" w:rsidP="00DA7D10">
      <w:pPr>
        <w:jc w:val="both"/>
        <w:rPr>
          <w:rFonts w:ascii="Arial" w:eastAsia="Times New Roman" w:hAnsi="Arial" w:cs="Arial"/>
          <w:sz w:val="22"/>
          <w:szCs w:val="22"/>
          <w:lang w:eastAsia="es-CO"/>
        </w:rPr>
      </w:pPr>
    </w:p>
    <w:p w14:paraId="618585B1" w14:textId="77777777" w:rsidR="0073551C" w:rsidRPr="008A482B" w:rsidRDefault="0073551C" w:rsidP="00DA7D10">
      <w:pPr>
        <w:jc w:val="both"/>
        <w:rPr>
          <w:rFonts w:ascii="Arial" w:hAnsi="Arial" w:cs="Arial"/>
          <w:sz w:val="22"/>
          <w:szCs w:val="22"/>
        </w:rPr>
      </w:pPr>
      <w:r w:rsidRPr="008A482B">
        <w:rPr>
          <w:rFonts w:ascii="Arial" w:eastAsia="Times New Roman" w:hAnsi="Arial" w:cs="Arial"/>
          <w:sz w:val="22"/>
          <w:szCs w:val="22"/>
          <w:lang w:eastAsia="es-CO"/>
        </w:rPr>
        <w:t xml:space="preserve">Incluso están ofreciendo pagos de hasta </w:t>
      </w:r>
      <w:r w:rsidRPr="008A482B">
        <w:rPr>
          <w:rFonts w:ascii="Arial" w:hAnsi="Arial" w:cs="Arial"/>
          <w:sz w:val="22"/>
          <w:szCs w:val="22"/>
          <w:lang w:eastAsia="es-CO"/>
        </w:rPr>
        <w:t>900.000 pesos a quienes les den datos de las casas de soldados y policías</w:t>
      </w:r>
      <w:r w:rsidRPr="008A482B">
        <w:rPr>
          <w:rFonts w:ascii="Arial" w:hAnsi="Arial" w:cs="Arial"/>
          <w:sz w:val="22"/>
          <w:szCs w:val="22"/>
        </w:rPr>
        <w:t>. Además, este mes de julio que termina es el de más ataques (81) contra la Fuerza Pública en los últimos 20 años, según el Centro de Recursos para el Análisis de Conflictos (</w:t>
      </w:r>
      <w:proofErr w:type="spellStart"/>
      <w:r w:rsidRPr="008A482B">
        <w:rPr>
          <w:rFonts w:ascii="Arial" w:hAnsi="Arial" w:cs="Arial"/>
          <w:sz w:val="22"/>
          <w:szCs w:val="22"/>
        </w:rPr>
        <w:t>Cerac</w:t>
      </w:r>
      <w:proofErr w:type="spellEnd"/>
      <w:r w:rsidRPr="008A482B">
        <w:rPr>
          <w:rFonts w:ascii="Arial" w:hAnsi="Arial" w:cs="Arial"/>
          <w:sz w:val="22"/>
          <w:szCs w:val="22"/>
        </w:rPr>
        <w:t>).</w:t>
      </w:r>
    </w:p>
    <w:p w14:paraId="5A66B7CF" w14:textId="77777777" w:rsidR="0073551C" w:rsidRPr="008A482B" w:rsidRDefault="0073551C" w:rsidP="0073551C">
      <w:pPr>
        <w:rPr>
          <w:rFonts w:ascii="Arial" w:hAnsi="Arial" w:cs="Arial"/>
          <w:sz w:val="22"/>
          <w:szCs w:val="22"/>
        </w:rPr>
      </w:pPr>
    </w:p>
    <w:p w14:paraId="31A6583E" w14:textId="51791191" w:rsidR="0073551C" w:rsidRPr="008A482B" w:rsidRDefault="00DA7D10" w:rsidP="0073551C">
      <w:pPr>
        <w:rPr>
          <w:rFonts w:ascii="Arial" w:hAnsi="Arial" w:cs="Arial"/>
          <w:b/>
          <w:bCs/>
          <w:sz w:val="22"/>
          <w:szCs w:val="22"/>
        </w:rPr>
      </w:pPr>
      <w:r>
        <w:rPr>
          <w:rFonts w:ascii="Arial" w:hAnsi="Arial" w:cs="Arial"/>
          <w:b/>
          <w:bCs/>
          <w:sz w:val="22"/>
          <w:szCs w:val="22"/>
        </w:rPr>
        <w:t>4</w:t>
      </w:r>
      <w:r w:rsidR="0073551C" w:rsidRPr="008A482B">
        <w:rPr>
          <w:rFonts w:ascii="Arial" w:hAnsi="Arial" w:cs="Arial"/>
          <w:b/>
          <w:bCs/>
          <w:sz w:val="22"/>
          <w:szCs w:val="22"/>
        </w:rPr>
        <w:t>.2.1</w:t>
      </w:r>
      <w:r w:rsidR="0073551C" w:rsidRPr="008A482B">
        <w:rPr>
          <w:rFonts w:ascii="Arial" w:hAnsi="Arial" w:cs="Arial"/>
          <w:b/>
          <w:bCs/>
          <w:sz w:val="22"/>
          <w:szCs w:val="22"/>
        </w:rPr>
        <w:tab/>
        <w:t>Héroes caídos durante el 2022 por el “Plan Pistola”</w:t>
      </w:r>
    </w:p>
    <w:p w14:paraId="55940668" w14:textId="77777777" w:rsidR="0073551C" w:rsidRPr="008A482B" w:rsidRDefault="0073551C" w:rsidP="0073551C">
      <w:pPr>
        <w:rPr>
          <w:rFonts w:ascii="Arial" w:hAnsi="Arial" w:cs="Arial"/>
          <w:sz w:val="22"/>
          <w:szCs w:val="22"/>
        </w:rPr>
      </w:pPr>
    </w:p>
    <w:p w14:paraId="2AC6B35A"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Este fenómeno criminal protagonizado por el narcoterrorismo del Clan del Golfo esta vez, “ha asesinado en las </w:t>
      </w:r>
      <w:proofErr w:type="spellStart"/>
      <w:r w:rsidRPr="008A482B">
        <w:rPr>
          <w:rFonts w:ascii="Arial" w:hAnsi="Arial" w:cs="Arial"/>
          <w:sz w:val="22"/>
          <w:szCs w:val="22"/>
        </w:rPr>
        <w:t>ultimas</w:t>
      </w:r>
      <w:proofErr w:type="spellEnd"/>
      <w:r w:rsidRPr="008A482B">
        <w:rPr>
          <w:rFonts w:ascii="Arial" w:hAnsi="Arial" w:cs="Arial"/>
          <w:sz w:val="22"/>
          <w:szCs w:val="22"/>
        </w:rPr>
        <w:t xml:space="preserve"> 2 semanas a 10 policías y 5 militares. (…) Según cifras de la Policía Nacional, van 38 agentes asesinados por distintos grupos ilegales en lo corrido del año. (…) 3 de esas víctimas eran jóvenes patrulleras que pagaron con su vida la decisión de portar el uniforme y la promesa de servir y proteger a los colombianos.”</w:t>
      </w:r>
    </w:p>
    <w:p w14:paraId="23DB48EE" w14:textId="77777777" w:rsidR="0073551C" w:rsidRPr="008A482B" w:rsidRDefault="0073551C" w:rsidP="00DA7D10">
      <w:pPr>
        <w:jc w:val="both"/>
        <w:rPr>
          <w:rFonts w:ascii="Arial" w:hAnsi="Arial" w:cs="Arial"/>
          <w:sz w:val="22"/>
          <w:szCs w:val="22"/>
        </w:rPr>
      </w:pPr>
    </w:p>
    <w:p w14:paraId="2E89A602"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lastRenderedPageBreak/>
        <w:t>Cabe enfatizar que, “el narcoterrorismo de Pablo Escobar contra la Policía Nacional durante los años 80 y los 90 cobró la vida de 730 uniformados. Uno de ellos, Carlos González, de 19 años, prestaba su servicio militar en la Policía y en su día de descanso, en abril de 1989, cuando había salido a desayunar con unos amigos de su barrio en una comuna de Medellín, fue sorprendido por dos hombres que sin mediar palabra le dispararon en la cabeza. La cruda escena se está repitiendo más de 30 años después. Y como entonces, los narcos de ahora pretenden utilizar el terror para salvarse de la cárcel y de la extradición.”</w:t>
      </w:r>
    </w:p>
    <w:p w14:paraId="71B26281" w14:textId="77777777" w:rsidR="0073551C" w:rsidRPr="008A482B" w:rsidRDefault="0073551C" w:rsidP="00DA7D10">
      <w:pPr>
        <w:jc w:val="both"/>
        <w:rPr>
          <w:rFonts w:ascii="Arial" w:hAnsi="Arial" w:cs="Arial"/>
          <w:sz w:val="22"/>
          <w:szCs w:val="22"/>
        </w:rPr>
      </w:pPr>
    </w:p>
    <w:p w14:paraId="6379EF83" w14:textId="2CA3D1B3" w:rsidR="0073551C" w:rsidRDefault="0073551C" w:rsidP="00DA7D10">
      <w:pPr>
        <w:jc w:val="both"/>
        <w:rPr>
          <w:rFonts w:ascii="Arial" w:hAnsi="Arial" w:cs="Arial"/>
          <w:sz w:val="22"/>
          <w:szCs w:val="22"/>
        </w:rPr>
      </w:pPr>
      <w:r w:rsidRPr="008A482B">
        <w:rPr>
          <w:rFonts w:ascii="Arial" w:hAnsi="Arial" w:cs="Arial"/>
          <w:sz w:val="22"/>
          <w:szCs w:val="22"/>
        </w:rPr>
        <w:t>Este año, han caído las patrulleras Merlano, Zuleta y Sánchez, y también al soldado profesional Santiago Caicedo Tascón, quien estaba disfrutando sus días de permiso tras haber estado prestando seguridad durante las jornadas electorales; fueron asesinados antes de poder compartir con su familia.</w:t>
      </w:r>
    </w:p>
    <w:p w14:paraId="23B09AB1" w14:textId="77777777" w:rsidR="00DA7D10" w:rsidRPr="008A482B" w:rsidRDefault="00DA7D10" w:rsidP="00DA7D10">
      <w:pPr>
        <w:jc w:val="both"/>
        <w:rPr>
          <w:rFonts w:ascii="Arial" w:hAnsi="Arial" w:cs="Arial"/>
          <w:sz w:val="22"/>
          <w:szCs w:val="22"/>
        </w:rPr>
      </w:pPr>
    </w:p>
    <w:p w14:paraId="57E67025"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En conclusión, se resalta la directa relación entre la intensificación del “plan pistola” contra la Fuerza Pública y el ánimo de negociación al presentarse como una fuerza coordinada y no como grupos inconexos o enemigos entre ellos.</w:t>
      </w:r>
    </w:p>
    <w:p w14:paraId="3E692970" w14:textId="77777777" w:rsidR="0073551C" w:rsidRPr="008A482B" w:rsidRDefault="0073551C" w:rsidP="0073551C">
      <w:pPr>
        <w:rPr>
          <w:rFonts w:ascii="Arial" w:hAnsi="Arial" w:cs="Arial"/>
          <w:sz w:val="22"/>
          <w:szCs w:val="22"/>
        </w:rPr>
      </w:pPr>
    </w:p>
    <w:p w14:paraId="63677A0A" w14:textId="1CBECEFA" w:rsidR="0073551C" w:rsidRPr="008A482B" w:rsidRDefault="00DA7D10" w:rsidP="0073551C">
      <w:pPr>
        <w:rPr>
          <w:rFonts w:ascii="Arial" w:eastAsia="Times New Roman" w:hAnsi="Arial" w:cs="Arial"/>
          <w:b/>
          <w:bCs/>
          <w:sz w:val="22"/>
          <w:szCs w:val="22"/>
          <w:lang w:eastAsia="es-CO"/>
        </w:rPr>
      </w:pPr>
      <w:r>
        <w:rPr>
          <w:rFonts w:ascii="Arial" w:eastAsia="Times New Roman" w:hAnsi="Arial" w:cs="Arial"/>
          <w:b/>
          <w:bCs/>
          <w:sz w:val="22"/>
          <w:szCs w:val="22"/>
          <w:lang w:eastAsia="es-CO"/>
        </w:rPr>
        <w:t>4</w:t>
      </w:r>
      <w:r w:rsidR="0073551C" w:rsidRPr="008A482B">
        <w:rPr>
          <w:rFonts w:ascii="Arial" w:eastAsia="Times New Roman" w:hAnsi="Arial" w:cs="Arial"/>
          <w:b/>
          <w:bCs/>
          <w:sz w:val="22"/>
          <w:szCs w:val="22"/>
          <w:lang w:eastAsia="es-CO"/>
        </w:rPr>
        <w:t>.3</w:t>
      </w:r>
      <w:r w:rsidR="0073551C" w:rsidRPr="008A482B">
        <w:rPr>
          <w:rFonts w:ascii="Arial" w:eastAsia="Times New Roman" w:hAnsi="Arial" w:cs="Arial"/>
          <w:b/>
          <w:bCs/>
          <w:sz w:val="22"/>
          <w:szCs w:val="22"/>
          <w:lang w:eastAsia="es-CO"/>
        </w:rPr>
        <w:tab/>
        <w:t>Naturaleza del “Plan Pistola”</w:t>
      </w:r>
    </w:p>
    <w:p w14:paraId="13C1AEFF" w14:textId="77777777" w:rsidR="0073551C" w:rsidRPr="008A482B" w:rsidRDefault="0073551C" w:rsidP="0073551C">
      <w:pPr>
        <w:rPr>
          <w:rFonts w:ascii="Arial" w:eastAsia="Times New Roman" w:hAnsi="Arial" w:cs="Arial"/>
          <w:sz w:val="22"/>
          <w:szCs w:val="22"/>
          <w:lang w:eastAsia="es-CO"/>
        </w:rPr>
      </w:pPr>
    </w:p>
    <w:p w14:paraId="08632C8E"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Conforme a múltiples estudios del denominado “Plan Pistola”, se suma a esta exposición el análisis publicado el 05 de octubre de 2018</w:t>
      </w:r>
      <w:r w:rsidRPr="008A482B">
        <w:rPr>
          <w:rStyle w:val="Refdenotaalpie"/>
          <w:rFonts w:ascii="Arial" w:eastAsia="Times New Roman" w:hAnsi="Arial" w:cs="Arial"/>
          <w:sz w:val="22"/>
          <w:szCs w:val="22"/>
          <w:lang w:eastAsia="es-CO"/>
        </w:rPr>
        <w:footnoteReference w:id="6"/>
      </w:r>
      <w:r w:rsidRPr="008A482B">
        <w:rPr>
          <w:rFonts w:ascii="Arial" w:eastAsia="Times New Roman" w:hAnsi="Arial" w:cs="Arial"/>
          <w:sz w:val="22"/>
          <w:szCs w:val="22"/>
          <w:lang w:eastAsia="es-CO"/>
        </w:rPr>
        <w:t>, cuyos fragmentos definen que el “plan pistola” es una práctica de homicidio selectivo contra miembros de las FFAA dentro de una estrategia militar que utiliza inteligencia de combate a fin de obtener una ventaja táctica con repercusiones psicológicas y mediáticas respecto a la condición de vulnerabilidad temporal o circunstancial del servidor público frente a quien se ejerce como enemigo natural.</w:t>
      </w:r>
    </w:p>
    <w:p w14:paraId="5FB0F4BD" w14:textId="77777777" w:rsidR="0073551C" w:rsidRPr="008A482B" w:rsidRDefault="0073551C" w:rsidP="00DA7D10">
      <w:pPr>
        <w:jc w:val="both"/>
        <w:rPr>
          <w:rFonts w:ascii="Arial" w:eastAsia="Times New Roman" w:hAnsi="Arial" w:cs="Arial"/>
          <w:sz w:val="22"/>
          <w:szCs w:val="22"/>
          <w:lang w:eastAsia="es-CO"/>
        </w:rPr>
      </w:pPr>
    </w:p>
    <w:p w14:paraId="22A9D67F"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 xml:space="preserve">En ese caso, el “plan pistola” se puede describir como una acción criminal </w:t>
      </w:r>
      <w:proofErr w:type="spellStart"/>
      <w:r w:rsidRPr="008A482B">
        <w:rPr>
          <w:rFonts w:ascii="Arial" w:eastAsia="Times New Roman" w:hAnsi="Arial" w:cs="Arial"/>
          <w:sz w:val="22"/>
          <w:szCs w:val="22"/>
          <w:lang w:eastAsia="es-CO"/>
        </w:rPr>
        <w:t>pre-meditada</w:t>
      </w:r>
      <w:proofErr w:type="spellEnd"/>
      <w:r w:rsidRPr="008A482B">
        <w:rPr>
          <w:rFonts w:ascii="Arial" w:eastAsia="Times New Roman" w:hAnsi="Arial" w:cs="Arial"/>
          <w:sz w:val="22"/>
          <w:szCs w:val="22"/>
          <w:lang w:eastAsia="es-CO"/>
        </w:rPr>
        <w:t xml:space="preserve"> y expresada en políticas y planes de un grupo, que se ejerce contra un adversario militar (que representa además una visión política adversarial), aprovechando las labores de inteligencia cuando el soldado se encuentra en una situación específica no relacionada con la conducción de hostilidades, que incluso puede ser originada en situaciones administrativas como un descanso, vacaciones, de permiso o, incluso, en desplazamientos.</w:t>
      </w:r>
    </w:p>
    <w:p w14:paraId="689685D3" w14:textId="77777777" w:rsidR="0073551C" w:rsidRPr="008A482B" w:rsidRDefault="0073551C" w:rsidP="00DA7D10">
      <w:pPr>
        <w:jc w:val="both"/>
        <w:rPr>
          <w:rFonts w:ascii="Arial" w:eastAsia="Times New Roman" w:hAnsi="Arial" w:cs="Arial"/>
          <w:sz w:val="22"/>
          <w:szCs w:val="22"/>
          <w:lang w:eastAsia="es-CO"/>
        </w:rPr>
      </w:pPr>
    </w:p>
    <w:p w14:paraId="7198D8A0"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 xml:space="preserve">El objetivo principal del “plan pistola” es militar, pero también tiene efectos políticos, mediáticos y psicológicos pues busca generar la sensación de control territorial, control sobre la población, destrezas en la inteligencia de combate, miedo y zozobra en los adversarios y cumpliría, además, un rol complementario a nivel operacional al que se pretende con el uso de francotiradores y minas, como lo registran los desmovilizados entrevistados. </w:t>
      </w:r>
    </w:p>
    <w:p w14:paraId="0FBB5E53" w14:textId="77777777" w:rsidR="0073551C" w:rsidRPr="008A482B" w:rsidRDefault="0073551C" w:rsidP="00DA7D10">
      <w:pPr>
        <w:jc w:val="both"/>
        <w:rPr>
          <w:rFonts w:ascii="Arial" w:eastAsia="Times New Roman" w:hAnsi="Arial" w:cs="Arial"/>
          <w:sz w:val="22"/>
          <w:szCs w:val="22"/>
          <w:lang w:eastAsia="es-CO"/>
        </w:rPr>
      </w:pPr>
    </w:p>
    <w:p w14:paraId="221E54B8"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También se puede concluir que el “plan pistola” hace parte de una política de homicidios individuales y grupales con génesis en las FARC-EP, así, también se pueden hallar asesinatos como forma de control social externo (“los colaboradores del adversario”), control social interno (como mecanismo de control disciplinario), control territorial a partir de la generación de miedo (masacres), control político como la muerte de alcaldes, concejales, congresistas, entre otros (Mejía, 2009)</w:t>
      </w:r>
    </w:p>
    <w:p w14:paraId="00A4E406" w14:textId="77777777" w:rsidR="0073551C" w:rsidRPr="008A482B" w:rsidRDefault="0073551C" w:rsidP="0073551C">
      <w:pPr>
        <w:rPr>
          <w:rFonts w:ascii="Arial" w:eastAsia="Times New Roman" w:hAnsi="Arial" w:cs="Arial"/>
          <w:sz w:val="22"/>
          <w:szCs w:val="22"/>
          <w:lang w:eastAsia="es-CO"/>
        </w:rPr>
      </w:pPr>
    </w:p>
    <w:p w14:paraId="50CC711A" w14:textId="15138000" w:rsidR="0073551C" w:rsidRPr="008A482B" w:rsidRDefault="00DA7D10" w:rsidP="0073551C">
      <w:pPr>
        <w:rPr>
          <w:rFonts w:ascii="Arial" w:eastAsia="Times New Roman" w:hAnsi="Arial" w:cs="Arial"/>
          <w:b/>
          <w:bCs/>
          <w:sz w:val="22"/>
          <w:szCs w:val="22"/>
          <w:lang w:eastAsia="es-CO"/>
        </w:rPr>
      </w:pPr>
      <w:r>
        <w:rPr>
          <w:rFonts w:ascii="Arial" w:eastAsia="Times New Roman" w:hAnsi="Arial" w:cs="Arial"/>
          <w:b/>
          <w:bCs/>
          <w:sz w:val="22"/>
          <w:szCs w:val="22"/>
          <w:lang w:eastAsia="es-CO"/>
        </w:rPr>
        <w:t>4</w:t>
      </w:r>
      <w:r w:rsidR="0073551C" w:rsidRPr="008A482B">
        <w:rPr>
          <w:rFonts w:ascii="Arial" w:eastAsia="Times New Roman" w:hAnsi="Arial" w:cs="Arial"/>
          <w:b/>
          <w:bCs/>
          <w:sz w:val="22"/>
          <w:szCs w:val="22"/>
          <w:lang w:eastAsia="es-CO"/>
        </w:rPr>
        <w:t xml:space="preserve">.4 </w:t>
      </w:r>
      <w:r w:rsidR="0073551C" w:rsidRPr="008A482B">
        <w:rPr>
          <w:rFonts w:ascii="Arial" w:eastAsia="Times New Roman" w:hAnsi="Arial" w:cs="Arial"/>
          <w:b/>
          <w:bCs/>
          <w:sz w:val="22"/>
          <w:szCs w:val="22"/>
          <w:lang w:eastAsia="es-CO"/>
        </w:rPr>
        <w:tab/>
        <w:t>El fenómeno de impunidad en Colombia</w:t>
      </w:r>
    </w:p>
    <w:p w14:paraId="4E1BD1C1" w14:textId="77777777" w:rsidR="0073551C" w:rsidRPr="008A482B" w:rsidRDefault="0073551C" w:rsidP="0073551C">
      <w:pPr>
        <w:rPr>
          <w:rFonts w:ascii="Arial" w:eastAsia="Times New Roman" w:hAnsi="Arial" w:cs="Arial"/>
          <w:b/>
          <w:bCs/>
          <w:sz w:val="22"/>
          <w:szCs w:val="22"/>
          <w:lang w:eastAsia="es-CO"/>
        </w:rPr>
      </w:pPr>
    </w:p>
    <w:p w14:paraId="1C4AC038"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Cabe resaltar que, según el Índice Global de Impunidad, Colombia ocupó el quinto lugar en América Latina en el año 2017, sólo detrás de Venezuela, México, Perú y Brasil, y el octavo en el ámbito internacional de los 59 países que se pudieron medir. Dicho fenómeno se presenta en niveles elevados en Colombia, el 57% de departamentos se clasifica en un nivel alto o muy alto de impunidad y sólo el 9% se encuentra en un nivel bajo. </w:t>
      </w:r>
    </w:p>
    <w:p w14:paraId="7ABCD56B" w14:textId="77777777" w:rsidR="0073551C" w:rsidRPr="008A482B" w:rsidRDefault="0073551C" w:rsidP="00DA7D10">
      <w:pPr>
        <w:jc w:val="both"/>
        <w:rPr>
          <w:rFonts w:ascii="Arial" w:hAnsi="Arial" w:cs="Arial"/>
          <w:sz w:val="22"/>
          <w:szCs w:val="22"/>
        </w:rPr>
      </w:pPr>
    </w:p>
    <w:p w14:paraId="3954691A"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Conforme el Índice Global de Impunidad (IGI) elaborado por el Centro de Estudios sobre Impunidad y Justicia (CESIJ) de la Universidad de las Américas Puebla, México (que comenzó con este proyecto en 2014), hay algunas grandes conclusiones producto de este estudio. Por una parte, las economías ilegales asociadas a la producción de cocaína, la extracción ilícita de minerales y otros recursos naturales son probablemente una de las variables más importantes que explican el fenómeno actual de la impunidad en Colombia. </w:t>
      </w:r>
    </w:p>
    <w:p w14:paraId="7650CE67" w14:textId="77777777" w:rsidR="0073551C" w:rsidRPr="008A482B" w:rsidRDefault="0073551C" w:rsidP="00DA7D10">
      <w:pPr>
        <w:jc w:val="both"/>
        <w:rPr>
          <w:rFonts w:ascii="Arial" w:hAnsi="Arial" w:cs="Arial"/>
          <w:sz w:val="22"/>
          <w:szCs w:val="22"/>
        </w:rPr>
      </w:pPr>
    </w:p>
    <w:p w14:paraId="150B3BF5"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Además, la desmovilización de las FARC-EP ha provocado que otros movimientos guerrilleros tradicionales como el ELN y grupos </w:t>
      </w:r>
      <w:proofErr w:type="spellStart"/>
      <w:r w:rsidRPr="008A482B">
        <w:rPr>
          <w:rFonts w:ascii="Arial" w:hAnsi="Arial" w:cs="Arial"/>
          <w:sz w:val="22"/>
          <w:szCs w:val="22"/>
        </w:rPr>
        <w:t>neoparamilitares</w:t>
      </w:r>
      <w:proofErr w:type="spellEnd"/>
      <w:r w:rsidRPr="008A482B">
        <w:rPr>
          <w:rFonts w:ascii="Arial" w:hAnsi="Arial" w:cs="Arial"/>
          <w:sz w:val="22"/>
          <w:szCs w:val="22"/>
        </w:rPr>
        <w:t xml:space="preserve"> ocupen territorios y espacios criminales, provocando el incremento de diferentes tipos de delitos en el territorio colombiano y, en consecuencia, elevando los niveles de impunidad en algunos departamentos. </w:t>
      </w:r>
    </w:p>
    <w:p w14:paraId="6B07E744" w14:textId="77777777" w:rsidR="0073551C" w:rsidRPr="008A482B" w:rsidRDefault="0073551C" w:rsidP="00DA7D10">
      <w:pPr>
        <w:jc w:val="both"/>
        <w:rPr>
          <w:rFonts w:ascii="Arial" w:hAnsi="Arial" w:cs="Arial"/>
          <w:sz w:val="22"/>
          <w:szCs w:val="22"/>
        </w:rPr>
      </w:pPr>
    </w:p>
    <w:p w14:paraId="293FFD90"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Otra conclusión de este Informe Global de Impunidad Colombia 2019 es que existe una concentración atípica de personal de la Fiscalía General de la Nación y la Policía nacional en departamentos productores de petróleo y con presencia de actores armados organizados. Lo anterior no guarda igual relación con el número de delitos en los departamentos. Adicionalmente, existe una concentración atípica de delitos en los departamentos con mejor desempeño en el índice de acceso a la justicia, elaborado por el DNP, entre ellos Cundinamarca y San Andrés. </w:t>
      </w:r>
    </w:p>
    <w:p w14:paraId="16EF397C" w14:textId="77777777" w:rsidR="0073551C" w:rsidRPr="008A482B" w:rsidRDefault="0073551C" w:rsidP="00DA7D10">
      <w:pPr>
        <w:jc w:val="both"/>
        <w:rPr>
          <w:rFonts w:ascii="Arial" w:hAnsi="Arial" w:cs="Arial"/>
          <w:sz w:val="22"/>
          <w:szCs w:val="22"/>
        </w:rPr>
      </w:pPr>
    </w:p>
    <w:p w14:paraId="727CF80D"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En contextos de violaciones masivas y sistemáticas a los derechos humanos, como en Colombia y México, las historias de impunidad salen a la luz pública cada día. Y aunque es innegable la responsabilidad de las instituciones estatales en la perpetuación del fenómeno, también es cierto que –dada la magnitud y frecuencia de los delitos– la configuración actual de los sistemas penales de justicia ordinaria (orales, inquisitivos y mixtos) parecen estar fracasando en la reducción de los niveles de impunidad, no sólo en el sentido del castigo de los responsables, sino también en el esclarecimiento de los crímenes (derecho a la verdad), la reparación y las garantías de no repetición para las víctimas, que, contrario a lo que se cree, no sólo son estándares de la justicia transicional sino de todos los sistemas de justicia. </w:t>
      </w:r>
    </w:p>
    <w:p w14:paraId="3F44F8CB"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 xml:space="preserve"> </w:t>
      </w:r>
    </w:p>
    <w:p w14:paraId="42EAADBB" w14:textId="33EC4F0F" w:rsidR="0073551C" w:rsidRDefault="0073551C" w:rsidP="0073551C">
      <w:pPr>
        <w:rPr>
          <w:rFonts w:ascii="Arial" w:eastAsia="Times New Roman" w:hAnsi="Arial" w:cs="Arial"/>
          <w:sz w:val="22"/>
          <w:szCs w:val="22"/>
          <w:lang w:eastAsia="es-CO"/>
        </w:rPr>
      </w:pPr>
    </w:p>
    <w:p w14:paraId="4017ABE3" w14:textId="7F2E1E6B" w:rsidR="0073551C" w:rsidRPr="00DA7D10" w:rsidRDefault="00DA7D10" w:rsidP="00DA7D10">
      <w:pPr>
        <w:pStyle w:val="Prrafodelista"/>
        <w:numPr>
          <w:ilvl w:val="0"/>
          <w:numId w:val="16"/>
        </w:numPr>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BIEN JURÍDICO A TUTELAR</w:t>
      </w:r>
    </w:p>
    <w:p w14:paraId="6729EBD8" w14:textId="77777777" w:rsidR="0073551C" w:rsidRPr="008A482B" w:rsidRDefault="0073551C" w:rsidP="0073551C">
      <w:pPr>
        <w:rPr>
          <w:rFonts w:ascii="Arial" w:eastAsia="Times New Roman" w:hAnsi="Arial" w:cs="Arial"/>
          <w:b/>
          <w:bCs/>
          <w:sz w:val="22"/>
          <w:szCs w:val="22"/>
          <w:lang w:eastAsia="es-CO"/>
        </w:rPr>
      </w:pPr>
    </w:p>
    <w:p w14:paraId="4E49A924"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La figura jurídica que se plantea mediante la imprescriptibilidad de la acción penal, crea una protección en el marco penal y la defensa de los derechos humanos de los agentes del estado que por su misionalidad representan la garantía de algunos fines esenciales del Estado como lo son la a defensa de la soberanía, la independencia, la integridad del territorio nacional y del orden constitucional. (Art. 2 y 217 Constitución Política)</w:t>
      </w:r>
    </w:p>
    <w:p w14:paraId="7AEAA497" w14:textId="77777777" w:rsidR="0073551C" w:rsidRPr="008A482B" w:rsidRDefault="0073551C" w:rsidP="00DA7D10">
      <w:pPr>
        <w:jc w:val="both"/>
        <w:rPr>
          <w:rFonts w:ascii="Arial" w:eastAsia="Times New Roman" w:hAnsi="Arial" w:cs="Arial"/>
          <w:bCs/>
          <w:sz w:val="22"/>
          <w:szCs w:val="22"/>
          <w:lang w:eastAsia="es-CO"/>
        </w:rPr>
      </w:pPr>
    </w:p>
    <w:p w14:paraId="16B91EE2"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 xml:space="preserve">Esta disposición materializa la protección a la vida (art 11 CP), como derecho constitucional, convencional y universal que atañe a nuestros uniformados, sin discriminación (art 13 CP), además, por la naturaleza de su trabajo, pese a ser reconocida por la Corte Constitucional </w:t>
      </w:r>
      <w:r w:rsidRPr="008A482B">
        <w:rPr>
          <w:rFonts w:ascii="Arial" w:eastAsia="Times New Roman" w:hAnsi="Arial" w:cs="Arial"/>
          <w:bCs/>
          <w:sz w:val="22"/>
          <w:szCs w:val="22"/>
          <w:lang w:eastAsia="es-CO"/>
        </w:rPr>
        <w:lastRenderedPageBreak/>
        <w:t>como actividad de alto riesgo, tiene el Estado la obligación de prestarle modalidades de especial protección (art 25 CP).</w:t>
      </w:r>
    </w:p>
    <w:p w14:paraId="56E2787A" w14:textId="77777777" w:rsidR="0073551C" w:rsidRPr="008A482B" w:rsidRDefault="0073551C" w:rsidP="00DA7D10">
      <w:pPr>
        <w:jc w:val="both"/>
        <w:rPr>
          <w:rFonts w:ascii="Arial" w:eastAsia="Times New Roman" w:hAnsi="Arial" w:cs="Arial"/>
          <w:bCs/>
          <w:sz w:val="22"/>
          <w:szCs w:val="22"/>
          <w:lang w:eastAsia="es-CO"/>
        </w:rPr>
      </w:pPr>
    </w:p>
    <w:p w14:paraId="4934B8E3"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En la medida que el derecho a la vida, a la protección en el trabajo cuya exclusiva misionalidad atañe al cumplimiento de los fines del Estado se pierde, la presente norma canaliza a la materialización del derecho a que se investigue y se judicialice al responsable de los hechos que generaron la calidad de víctima a las familias de nuestros uniformados, en aras, de hacer valer su derecho a la verdad, reparación y no repetición de las víctimas (Ley 1448 de 2011), el derecho a la justicia y a las debidas garantías judiciales que emana la Convención Americana sobre Derechos Humanos y en consecuencia, poder acceder a la administración de justicia (art 228 y 229 CP)</w:t>
      </w:r>
    </w:p>
    <w:p w14:paraId="06A5AAC5" w14:textId="77777777" w:rsidR="0073551C" w:rsidRPr="008A482B" w:rsidRDefault="0073551C" w:rsidP="00DA7D10">
      <w:pPr>
        <w:jc w:val="both"/>
        <w:rPr>
          <w:rFonts w:ascii="Arial" w:eastAsia="Times New Roman" w:hAnsi="Arial" w:cs="Arial"/>
          <w:bCs/>
          <w:sz w:val="22"/>
          <w:szCs w:val="22"/>
          <w:lang w:eastAsia="es-CO"/>
        </w:rPr>
      </w:pPr>
    </w:p>
    <w:p w14:paraId="1C94F3ED"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eastAsia="Times New Roman" w:hAnsi="Arial" w:cs="Arial"/>
          <w:bCs/>
          <w:sz w:val="22"/>
          <w:szCs w:val="22"/>
          <w:lang w:eastAsia="es-CO"/>
        </w:rPr>
        <w:t xml:space="preserve">Por lo tanto, los miembros de las fuerzas militares, pueden ser considerados objetivos militares incluso cuando están en vacaciones o receso en la prestación de su servicio, a diferencia de lo que ocurre con la población civil. Es decir que, enfrentan en virtud de su función constitucional, un riesgo mayor que el de cualquier otro colombiano como lo demuestran las cifras sobre asesinatos contra ellos que cada día va en aumento. Razón por la cual la impunidad que hoy gozan los responsables de los hechos está afectando los derechos de muchas familias. </w:t>
      </w:r>
    </w:p>
    <w:p w14:paraId="195E92F5" w14:textId="77777777" w:rsidR="0073551C" w:rsidRPr="008A482B" w:rsidRDefault="0073551C" w:rsidP="0073551C">
      <w:pPr>
        <w:rPr>
          <w:rFonts w:ascii="Arial" w:eastAsia="Times New Roman" w:hAnsi="Arial" w:cs="Arial"/>
          <w:bCs/>
          <w:sz w:val="22"/>
          <w:szCs w:val="22"/>
          <w:lang w:eastAsia="es-CO"/>
        </w:rPr>
      </w:pPr>
    </w:p>
    <w:p w14:paraId="5C387BE5" w14:textId="02AF6D96" w:rsidR="0073551C" w:rsidRPr="008A482B" w:rsidRDefault="00DA7D10" w:rsidP="00DA7D10">
      <w:pPr>
        <w:jc w:val="both"/>
        <w:rPr>
          <w:rFonts w:ascii="Arial" w:eastAsia="Times New Roman" w:hAnsi="Arial" w:cs="Arial"/>
          <w:bCs/>
          <w:sz w:val="22"/>
          <w:szCs w:val="22"/>
          <w:lang w:eastAsia="es-CO"/>
        </w:rPr>
      </w:pPr>
      <w:r>
        <w:rPr>
          <w:rFonts w:ascii="Arial" w:hAnsi="Arial" w:cs="Arial"/>
          <w:b/>
          <w:bCs/>
          <w:sz w:val="22"/>
          <w:szCs w:val="22"/>
        </w:rPr>
        <w:t>5</w:t>
      </w:r>
      <w:r w:rsidR="0073551C" w:rsidRPr="008A482B">
        <w:rPr>
          <w:rFonts w:ascii="Arial" w:hAnsi="Arial" w:cs="Arial"/>
          <w:b/>
          <w:bCs/>
          <w:sz w:val="22"/>
          <w:szCs w:val="22"/>
        </w:rPr>
        <w:t>.</w:t>
      </w:r>
      <w:r>
        <w:rPr>
          <w:rFonts w:ascii="Arial" w:hAnsi="Arial" w:cs="Arial"/>
          <w:b/>
          <w:bCs/>
          <w:sz w:val="22"/>
          <w:szCs w:val="22"/>
        </w:rPr>
        <w:t>1</w:t>
      </w:r>
      <w:r w:rsidR="0073551C" w:rsidRPr="008A482B">
        <w:rPr>
          <w:rFonts w:ascii="Arial" w:eastAsia="Times New Roman" w:hAnsi="Arial" w:cs="Arial"/>
          <w:b/>
          <w:sz w:val="22"/>
          <w:szCs w:val="22"/>
          <w:lang w:eastAsia="es-CO"/>
        </w:rPr>
        <w:t xml:space="preserve"> La impunidad propicia la repetición crónica de las violaciones de derechos humanos.</w:t>
      </w:r>
      <w:r w:rsidR="0073551C" w:rsidRPr="008A482B">
        <w:rPr>
          <w:rStyle w:val="Refdenotaalpie"/>
          <w:rFonts w:ascii="Arial" w:hAnsi="Arial" w:cs="Arial"/>
          <w:sz w:val="22"/>
          <w:szCs w:val="22"/>
        </w:rPr>
        <w:footnoteReference w:id="7"/>
      </w:r>
      <w:r w:rsidR="0073551C" w:rsidRPr="008A482B">
        <w:rPr>
          <w:rFonts w:ascii="Arial" w:hAnsi="Arial" w:cs="Arial"/>
          <w:sz w:val="22"/>
          <w:szCs w:val="22"/>
        </w:rPr>
        <w:t xml:space="preserve"> </w:t>
      </w:r>
    </w:p>
    <w:p w14:paraId="7DF5F78C" w14:textId="77777777" w:rsidR="0073551C" w:rsidRPr="008A482B" w:rsidRDefault="0073551C" w:rsidP="0073551C">
      <w:pPr>
        <w:rPr>
          <w:rFonts w:ascii="Arial" w:hAnsi="Arial" w:cs="Arial"/>
          <w:sz w:val="22"/>
          <w:szCs w:val="22"/>
        </w:rPr>
      </w:pPr>
    </w:p>
    <w:p w14:paraId="6026C39F" w14:textId="77777777" w:rsidR="0073551C" w:rsidRPr="008A482B" w:rsidRDefault="0073551C" w:rsidP="00DA7D10">
      <w:pPr>
        <w:jc w:val="both"/>
        <w:rPr>
          <w:rFonts w:ascii="Arial" w:eastAsia="Times New Roman" w:hAnsi="Arial" w:cs="Arial"/>
          <w:bCs/>
          <w:sz w:val="22"/>
          <w:szCs w:val="22"/>
          <w:lang w:eastAsia="es-CO"/>
        </w:rPr>
      </w:pPr>
      <w:r w:rsidRPr="008A482B">
        <w:rPr>
          <w:rFonts w:ascii="Arial" w:hAnsi="Arial" w:cs="Arial"/>
          <w:sz w:val="22"/>
          <w:szCs w:val="22"/>
        </w:rPr>
        <w:t>Conforme lo establece la Suprema Corte de Justicia de la Nación en su edición de la Convención Americana sobre Derechos Humanos comentada, “e</w:t>
      </w:r>
      <w:r w:rsidRPr="008A482B">
        <w:rPr>
          <w:rFonts w:ascii="Arial" w:eastAsia="Times New Roman" w:hAnsi="Arial" w:cs="Arial"/>
          <w:bCs/>
          <w:sz w:val="22"/>
          <w:szCs w:val="22"/>
          <w:lang w:eastAsia="es-CO"/>
        </w:rPr>
        <w:t>l acceso a la justicia como tal “genera obligaciones erga omnes para los Estados de adoptar las medidas que sean necesarias para no dejar en la impunidad esas violaciones”.</w:t>
      </w:r>
    </w:p>
    <w:p w14:paraId="4A2B9E13" w14:textId="77777777" w:rsidR="0073551C" w:rsidRPr="008A482B" w:rsidRDefault="0073551C" w:rsidP="00DA7D10">
      <w:pPr>
        <w:jc w:val="both"/>
        <w:rPr>
          <w:rFonts w:ascii="Arial" w:eastAsia="Times New Roman" w:hAnsi="Arial" w:cs="Arial"/>
          <w:bCs/>
          <w:sz w:val="22"/>
          <w:szCs w:val="22"/>
          <w:lang w:eastAsia="es-CO"/>
        </w:rPr>
      </w:pPr>
    </w:p>
    <w:p w14:paraId="065C2DA6" w14:textId="77777777" w:rsidR="0073551C" w:rsidRPr="008A482B" w:rsidRDefault="0073551C" w:rsidP="00DA7D10">
      <w:pPr>
        <w:jc w:val="both"/>
        <w:rPr>
          <w:rFonts w:ascii="Arial" w:hAnsi="Arial" w:cs="Arial"/>
          <w:sz w:val="22"/>
          <w:szCs w:val="22"/>
        </w:rPr>
      </w:pPr>
      <w:r w:rsidRPr="008A482B">
        <w:rPr>
          <w:rFonts w:ascii="Arial" w:eastAsia="Times New Roman" w:hAnsi="Arial" w:cs="Arial"/>
          <w:bCs/>
          <w:sz w:val="22"/>
          <w:szCs w:val="22"/>
          <w:lang w:eastAsia="es-CO"/>
        </w:rPr>
        <w:t xml:space="preserve">Al respecto, el Tribunal ha señalado que “un procesamiento que se desarrolla hasta su conclusión y cumpla su cometido es la señal más clara de no tolerancia a las violaciones a los derechos humanos, contribuye a la reparación de las víctimas y muestra a la sociedad que se ha hecho justicia”. Asimismo, tomando en consideración el Conjunto actualizado de principios para la protección y la promoción de los derechos humanos mediante la lucha contra la impunidad, la Corte ha establecido que “[l]a imposición de una pena apropiada en función de la gravedad de los hechos, por la autoridad competente </w:t>
      </w:r>
      <w:r w:rsidRPr="008A482B">
        <w:rPr>
          <w:rFonts w:ascii="Arial" w:hAnsi="Arial" w:cs="Arial"/>
          <w:sz w:val="22"/>
          <w:szCs w:val="22"/>
        </w:rPr>
        <w:t>y con el debido fundamento, permite verificar que no sea arbitraria y controlar así que no se erija en una forma de impunidad de facto”.</w:t>
      </w:r>
    </w:p>
    <w:p w14:paraId="194FFE9E" w14:textId="77777777" w:rsidR="0073551C" w:rsidRPr="008A482B" w:rsidRDefault="0073551C" w:rsidP="00DA7D10">
      <w:pPr>
        <w:jc w:val="both"/>
        <w:rPr>
          <w:rFonts w:ascii="Arial" w:hAnsi="Arial" w:cs="Arial"/>
          <w:sz w:val="22"/>
          <w:szCs w:val="22"/>
        </w:rPr>
      </w:pPr>
    </w:p>
    <w:p w14:paraId="2CE7A78D"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 De esta manera, en atención a la regla de proporcionalidad, los Estados deben asegurar, inter </w:t>
      </w:r>
      <w:proofErr w:type="spellStart"/>
      <w:r w:rsidRPr="008A482B">
        <w:rPr>
          <w:rFonts w:ascii="Arial" w:hAnsi="Arial" w:cs="Arial"/>
          <w:sz w:val="22"/>
          <w:szCs w:val="22"/>
        </w:rPr>
        <w:t>alia</w:t>
      </w:r>
      <w:proofErr w:type="spellEnd"/>
      <w:r w:rsidRPr="008A482B">
        <w:rPr>
          <w:rFonts w:ascii="Arial" w:hAnsi="Arial" w:cs="Arial"/>
          <w:sz w:val="22"/>
          <w:szCs w:val="22"/>
        </w:rPr>
        <w:t>, en el ejercicio de su deber de persecución de las graves violaciones, “que las penas impuestas y su ejecución no se constituyan en factores de impunidad, tomando en cuenta varios aspectos como las características del delito y la participación y culpabilidad del acusado”.</w:t>
      </w:r>
    </w:p>
    <w:p w14:paraId="4E138FE2" w14:textId="77777777" w:rsidR="0073551C" w:rsidRPr="008A482B" w:rsidRDefault="0073551C" w:rsidP="00DA7D10">
      <w:pPr>
        <w:jc w:val="both"/>
        <w:rPr>
          <w:rFonts w:ascii="Arial" w:hAnsi="Arial" w:cs="Arial"/>
          <w:sz w:val="22"/>
          <w:szCs w:val="22"/>
        </w:rPr>
      </w:pPr>
    </w:p>
    <w:p w14:paraId="5F83ABC3"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 xml:space="preserve">Por otro lado, cabe destacar que, de acuerdo con el Tribunal, “ante la naturaleza y gravedad de los hechos, más aún en contextos de violaciones sistemáticas de derechos humanos”, la necesidad de erradicar la impunidad “se presenta ante la comunidad internacional como un deber de cooperación entre los Estados”, quienes deben adoptar las medidas necesarias </w:t>
      </w:r>
      <w:r w:rsidRPr="008A482B">
        <w:rPr>
          <w:rFonts w:ascii="Arial" w:hAnsi="Arial" w:cs="Arial"/>
          <w:sz w:val="22"/>
          <w:szCs w:val="22"/>
        </w:rPr>
        <w:lastRenderedPageBreak/>
        <w:t>para juzgar y, en su caso, sancionar a los responsables de esas violaciones, ya sea ejerciendo su jurisdicción para aplicar su derecho interno y el derecho internacional o colaborando con otros Estados que lo hagan o procuren hacerlo.</w:t>
      </w:r>
    </w:p>
    <w:p w14:paraId="59614FCC" w14:textId="77777777" w:rsidR="0073551C" w:rsidRPr="008A482B" w:rsidRDefault="0073551C" w:rsidP="00DA7D10">
      <w:pPr>
        <w:jc w:val="both"/>
        <w:rPr>
          <w:rFonts w:ascii="Arial" w:hAnsi="Arial" w:cs="Arial"/>
          <w:sz w:val="22"/>
          <w:szCs w:val="22"/>
        </w:rPr>
      </w:pPr>
    </w:p>
    <w:p w14:paraId="053F3DE6"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Por tanto, conforme lo ha señalado la Corte, “[l]a Justicia, para ser tal, debe ser oportuna y lograr el efecto útil que se desea o se espera con su accionar y, particularmente tratándose de un caso de graves violaciones de derechos humanos, debe primar un principio de efectividad en la investigación de los hechos y determinación y en su caso sanción de los responsables”.</w:t>
      </w:r>
    </w:p>
    <w:p w14:paraId="66364C89" w14:textId="77777777" w:rsidR="0073551C" w:rsidRPr="008A482B" w:rsidRDefault="0073551C" w:rsidP="00DA7D10">
      <w:pPr>
        <w:jc w:val="both"/>
        <w:rPr>
          <w:rFonts w:ascii="Arial" w:hAnsi="Arial" w:cs="Arial"/>
          <w:sz w:val="22"/>
          <w:szCs w:val="22"/>
        </w:rPr>
      </w:pPr>
    </w:p>
    <w:p w14:paraId="4C231583" w14:textId="70413EA8" w:rsidR="0073551C" w:rsidRPr="00DA7D10" w:rsidRDefault="00DA7D10" w:rsidP="00DA7D10">
      <w:pPr>
        <w:pStyle w:val="Prrafodelista"/>
        <w:numPr>
          <w:ilvl w:val="0"/>
          <w:numId w:val="16"/>
        </w:numPr>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SUSTENTO JURÍDICO DE LA FIGURA DE IMPRESCRIPTIBILIDAD</w:t>
      </w:r>
    </w:p>
    <w:p w14:paraId="78FD1216" w14:textId="77777777" w:rsidR="0073551C" w:rsidRPr="008A482B" w:rsidRDefault="0073551C" w:rsidP="0073551C">
      <w:pPr>
        <w:rPr>
          <w:rFonts w:ascii="Arial" w:eastAsia="Times New Roman" w:hAnsi="Arial" w:cs="Arial"/>
          <w:b/>
          <w:bCs/>
          <w:sz w:val="22"/>
          <w:szCs w:val="22"/>
          <w:lang w:eastAsia="es-CO"/>
        </w:rPr>
      </w:pPr>
    </w:p>
    <w:p w14:paraId="1FABCB7B"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La imprescriptibilidad de la acción penal, garantía que según el desarrollo actual de la jurisprudencia encuentra fundamento en los artículos 28 y 29 de la Constitución, no plantea una regla incondicional, pues la textura de esta directriz corresponde a la de un principio. Por tal motivo, la restricción de este mandato es posible cuando se pretende asegurar el cumplimiento de intereses que, tras su ponderación, se consideren de mayor valor constitucional específico.</w:t>
      </w:r>
    </w:p>
    <w:p w14:paraId="1CAA0055" w14:textId="77777777" w:rsidR="0073551C" w:rsidRPr="008A482B" w:rsidRDefault="0073551C" w:rsidP="0073551C">
      <w:pPr>
        <w:rPr>
          <w:rFonts w:ascii="Arial" w:eastAsia="Times New Roman" w:hAnsi="Arial" w:cs="Arial"/>
          <w:sz w:val="22"/>
          <w:szCs w:val="22"/>
          <w:lang w:eastAsia="es-CO"/>
        </w:rPr>
      </w:pPr>
    </w:p>
    <w:p w14:paraId="40DB7DC4" w14:textId="3060109D" w:rsidR="0073551C" w:rsidRPr="008A482B" w:rsidRDefault="00DA7D10" w:rsidP="00DA7D10">
      <w:pPr>
        <w:jc w:val="both"/>
        <w:rPr>
          <w:rFonts w:ascii="Arial" w:eastAsia="Times New Roman" w:hAnsi="Arial" w:cs="Arial"/>
          <w:sz w:val="22"/>
          <w:szCs w:val="22"/>
          <w:lang w:eastAsia="es-CO"/>
        </w:rPr>
      </w:pPr>
      <w:r>
        <w:rPr>
          <w:rFonts w:ascii="Arial" w:eastAsia="Times New Roman" w:hAnsi="Arial" w:cs="Arial"/>
          <w:b/>
          <w:bCs/>
          <w:sz w:val="22"/>
          <w:szCs w:val="22"/>
          <w:lang w:eastAsia="es-CO"/>
        </w:rPr>
        <w:t>6</w:t>
      </w:r>
      <w:r w:rsidR="0073551C" w:rsidRPr="008A482B">
        <w:rPr>
          <w:rFonts w:ascii="Arial" w:eastAsia="Times New Roman" w:hAnsi="Arial" w:cs="Arial"/>
          <w:b/>
          <w:bCs/>
          <w:sz w:val="22"/>
          <w:szCs w:val="22"/>
          <w:lang w:eastAsia="es-CO"/>
        </w:rPr>
        <w:t>.1 Fundamentos legales y jurisprudenciales de la prescripción de la acción penal y su interrupción</w:t>
      </w:r>
    </w:p>
    <w:p w14:paraId="3F74AD95" w14:textId="77777777" w:rsidR="0073551C" w:rsidRPr="008A482B" w:rsidRDefault="0073551C" w:rsidP="0073551C">
      <w:pPr>
        <w:rPr>
          <w:rFonts w:ascii="Arial" w:eastAsia="Times New Roman" w:hAnsi="Arial" w:cs="Arial"/>
          <w:sz w:val="22"/>
          <w:szCs w:val="22"/>
          <w:lang w:eastAsia="es-CO"/>
        </w:rPr>
      </w:pPr>
    </w:p>
    <w:p w14:paraId="7A33FDC0"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La legislación penal –sustantiva y procedimental– ha desarrollado la figura de la prescripción de la acción penal. La primera regla general se encuentra en el párrafo primero del artículo 83 del Código Penal, que establece el término de extinción de la acción penal en un tiempo igual al de la pena máxima dispuesta por la ley para el delito respectivo, si es privativa de la libertad, tiempo que no puede ser inferior a cinco (5) años ni exceder de veinte (20).</w:t>
      </w:r>
    </w:p>
    <w:p w14:paraId="379A99AC" w14:textId="77777777" w:rsidR="0073551C" w:rsidRPr="008A482B" w:rsidRDefault="0073551C" w:rsidP="00DA7D10">
      <w:pPr>
        <w:jc w:val="both"/>
        <w:rPr>
          <w:rFonts w:ascii="Arial" w:eastAsia="Times New Roman" w:hAnsi="Arial" w:cs="Arial"/>
          <w:sz w:val="22"/>
          <w:szCs w:val="22"/>
          <w:lang w:eastAsia="es-CO"/>
        </w:rPr>
      </w:pPr>
    </w:p>
    <w:p w14:paraId="41063D1E"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Una segunda regla general está prevista en el artículo 84 de la misma normativa, que señala el momento a partir del cual empieza a contarse el término de prescripción, así: para los delitos de comisión instantánea desde el día de su consumación, en los tentados o permanentes desde la perpetración del último acto y en las conductas punibles de comisión por omisión a partir del momento en que haya cesado el deber de actuar; además, la norma establece que el término de prescripción correrá independientemente cuando se trate de varios punibles juzgados en un mismo proceso.</w:t>
      </w:r>
    </w:p>
    <w:p w14:paraId="27637560" w14:textId="77777777" w:rsidR="0073551C" w:rsidRPr="008A482B" w:rsidRDefault="0073551C" w:rsidP="00DA7D10">
      <w:pPr>
        <w:jc w:val="both"/>
        <w:rPr>
          <w:rFonts w:ascii="Arial" w:eastAsia="Times New Roman" w:hAnsi="Arial" w:cs="Arial"/>
          <w:sz w:val="22"/>
          <w:szCs w:val="22"/>
          <w:lang w:eastAsia="es-CO"/>
        </w:rPr>
      </w:pPr>
    </w:p>
    <w:p w14:paraId="2D9AB6AC"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A su turno, el artículo 86 de la Ley 599 de 2000 prevé una tercera regla general referida a la interrupción del término prescriptivo de la acción penal. En el marco de la Ley 600 de 2000, el término de prescripción señalado en el artículo 83 se interrumpe o suspende con la resolución de acusación o su equivalente, debidamente ejecutoriada, y a partir de entonces comienza a correr de nuevo por un tiempo igual a la mitad del de la pena máxima dispuesta por la ley para el delito respectivo, sin que ese nuevo conteo pueda ser inferior a cinco (5) años ni superior a diez (10). En el caso de delitos enjuiciados por la Ley 906, la prescripción de la acción penal se interrumpe con la formulación de la imputación, momento desde el que empieza a correr de nuevo por un lapso igual a la mitad del señalado en el citado artículo 83 de la codificación penal sustantiva, sin que pueda ser inferior a tres (3) años.</w:t>
      </w:r>
    </w:p>
    <w:p w14:paraId="235EB350" w14:textId="77777777" w:rsidR="0073551C" w:rsidRPr="008A482B" w:rsidRDefault="0073551C" w:rsidP="00DA7D10">
      <w:pPr>
        <w:jc w:val="both"/>
        <w:rPr>
          <w:rFonts w:ascii="Arial" w:eastAsia="Times New Roman" w:hAnsi="Arial" w:cs="Arial"/>
          <w:sz w:val="22"/>
          <w:szCs w:val="22"/>
          <w:lang w:eastAsia="es-CO"/>
        </w:rPr>
      </w:pPr>
    </w:p>
    <w:p w14:paraId="0311BAD7"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 xml:space="preserve">En la Sentencia SP16269-2015 (46325), la Sala de Casación Penal de la Corte Suprema de Justicia precisó que la regla de interrupción o suspensión del término de prescripción de </w:t>
      </w:r>
      <w:r w:rsidRPr="008A482B">
        <w:rPr>
          <w:rFonts w:ascii="Arial" w:eastAsia="Times New Roman" w:hAnsi="Arial" w:cs="Arial"/>
          <w:sz w:val="22"/>
          <w:szCs w:val="22"/>
          <w:lang w:eastAsia="es-CO"/>
        </w:rPr>
        <w:lastRenderedPageBreak/>
        <w:t>la acción penal no fue variada con la reforma de la Ley 1154 de 2007, artículo 1º, pues obedece a un supuesto de hecho diferente. A modo de conclusión, en la mencionada providencia la CSJ sostuvo que:</w:t>
      </w:r>
    </w:p>
    <w:p w14:paraId="5A39751D" w14:textId="77777777" w:rsidR="0073551C" w:rsidRPr="008A482B" w:rsidRDefault="0073551C" w:rsidP="0073551C">
      <w:pPr>
        <w:rPr>
          <w:rFonts w:ascii="Arial" w:eastAsia="Times New Roman" w:hAnsi="Arial" w:cs="Arial"/>
          <w:sz w:val="22"/>
          <w:szCs w:val="22"/>
          <w:lang w:eastAsia="es-CO"/>
        </w:rPr>
      </w:pPr>
    </w:p>
    <w:p w14:paraId="694EBD6A" w14:textId="77777777" w:rsidR="0073551C" w:rsidRPr="008A482B" w:rsidRDefault="0073551C" w:rsidP="0073551C">
      <w:pPr>
        <w:pStyle w:val="Prrafodelista"/>
        <w:numPr>
          <w:ilvl w:val="0"/>
          <w:numId w:val="13"/>
        </w:num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La modificación que introdujo la Ley 1154 de 2007, artículo 1º, a los artículos 83 y 84 de la Ley 599 de 2000, implica que el término de prescripción de la acción penal frente a los delitos a los que se refiere esa disposición es de veinte (20) años contados a partir de cuando la víctima cumpla la mayoría de edad.</w:t>
      </w:r>
    </w:p>
    <w:p w14:paraId="0CC58139" w14:textId="77777777" w:rsidR="0073551C" w:rsidRPr="008A482B" w:rsidRDefault="0073551C" w:rsidP="0073551C">
      <w:pPr>
        <w:rPr>
          <w:rFonts w:ascii="Arial" w:eastAsia="Times New Roman" w:hAnsi="Arial" w:cs="Arial"/>
          <w:sz w:val="22"/>
          <w:szCs w:val="22"/>
          <w:lang w:eastAsia="es-CO"/>
        </w:rPr>
      </w:pPr>
    </w:p>
    <w:p w14:paraId="0FFB28E6" w14:textId="77777777" w:rsidR="0073551C" w:rsidRPr="008A482B" w:rsidRDefault="0073551C" w:rsidP="0073551C">
      <w:pPr>
        <w:pStyle w:val="Prrafodelista"/>
        <w:numPr>
          <w:ilvl w:val="0"/>
          <w:numId w:val="13"/>
        </w:num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Durante ese lapso, puede la víctima denunciar (o un tercero) la ocurrencia del hecho, y el órgano encargado de la persecución penal ejercer sus funciones para el esclarecimiento de las circunstancias de modo, tiempo y lugar del suceso.</w:t>
      </w:r>
    </w:p>
    <w:p w14:paraId="315CB415" w14:textId="77777777" w:rsidR="0073551C" w:rsidRPr="008A482B" w:rsidRDefault="0073551C" w:rsidP="0073551C">
      <w:pPr>
        <w:rPr>
          <w:rFonts w:ascii="Arial" w:eastAsia="Times New Roman" w:hAnsi="Arial" w:cs="Arial"/>
          <w:sz w:val="22"/>
          <w:szCs w:val="22"/>
          <w:lang w:eastAsia="es-CO"/>
        </w:rPr>
      </w:pPr>
    </w:p>
    <w:p w14:paraId="4C7549C4" w14:textId="77777777" w:rsidR="0073551C" w:rsidRPr="008A482B" w:rsidRDefault="0073551C" w:rsidP="0073551C">
      <w:pPr>
        <w:pStyle w:val="Prrafodelista"/>
        <w:numPr>
          <w:ilvl w:val="0"/>
          <w:numId w:val="13"/>
        </w:num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Si en vigencia del plazo señalado en el precepto, la Fiscalía General de la Nación materializa una resolución de acusación o la formulación de imputación (dependiendo del régimen procesal penal de que se trate), el fenómeno jurídico de la prescripción de la acción penal se interrumpe y comienza a correr de nuevo por la mitad del término común indicado en la norma, es decir, tendrá una duración diez (10) años.</w:t>
      </w:r>
    </w:p>
    <w:p w14:paraId="4A9BD0A0" w14:textId="77777777" w:rsidR="0073551C" w:rsidRPr="008A482B" w:rsidRDefault="0073551C" w:rsidP="0073551C">
      <w:pPr>
        <w:rPr>
          <w:rFonts w:ascii="Arial" w:eastAsia="Times New Roman" w:hAnsi="Arial" w:cs="Arial"/>
          <w:sz w:val="22"/>
          <w:szCs w:val="22"/>
          <w:lang w:eastAsia="es-CO"/>
        </w:rPr>
      </w:pPr>
    </w:p>
    <w:p w14:paraId="569F5D98"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 xml:space="preserve">Esa misma postura fue acogida en la Sentencia SU-433 de 2020, donde se comprende la diferenciación entre los términos regulados por los artículos 83 y 86 del Código Penal. El primero de ellos se refiere al tiempo con que cuentan los organismos de investigación para investigar una conducta punible, mientras que el segundo establece el término máximo para procesar penalmente a una persona. </w:t>
      </w:r>
    </w:p>
    <w:p w14:paraId="3AD67765" w14:textId="77777777" w:rsidR="0073551C" w:rsidRPr="008A482B" w:rsidRDefault="0073551C" w:rsidP="00DA7D10">
      <w:pPr>
        <w:jc w:val="both"/>
        <w:rPr>
          <w:rFonts w:ascii="Arial" w:eastAsia="Times New Roman" w:hAnsi="Arial" w:cs="Arial"/>
          <w:sz w:val="22"/>
          <w:szCs w:val="22"/>
          <w:lang w:eastAsia="es-CO"/>
        </w:rPr>
      </w:pPr>
    </w:p>
    <w:p w14:paraId="50AF3C1A"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La lógica que subyace a este diseño legal consiste en que es válido que el Estado cuente con más tiempo para investigar una conducta punible e identificar a su posible responsable, pero, una vez judicializado éste, el término debe restringirse, (i) porque se entiende que ya se adelantó parte de la actividad investigativa, a tal punto que se imputaron cargos; y (</w:t>
      </w:r>
      <w:proofErr w:type="spellStart"/>
      <w:r w:rsidRPr="008A482B">
        <w:rPr>
          <w:rFonts w:ascii="Arial" w:eastAsia="Times New Roman" w:hAnsi="Arial" w:cs="Arial"/>
          <w:sz w:val="22"/>
          <w:szCs w:val="22"/>
          <w:lang w:eastAsia="es-CO"/>
        </w:rPr>
        <w:t>ii</w:t>
      </w:r>
      <w:proofErr w:type="spellEnd"/>
      <w:r w:rsidRPr="008A482B">
        <w:rPr>
          <w:rFonts w:ascii="Arial" w:eastAsia="Times New Roman" w:hAnsi="Arial" w:cs="Arial"/>
          <w:sz w:val="22"/>
          <w:szCs w:val="22"/>
          <w:lang w:eastAsia="es-CO"/>
        </w:rPr>
        <w:t>) porque la persona ya se encuentra sub judice, y, en consecuencia, le asiste el derecho fundamental a que su situación sea resuelta en un plazo razonable, sin dilaciones indebidas.</w:t>
      </w:r>
    </w:p>
    <w:p w14:paraId="6DA18630" w14:textId="77777777" w:rsidR="0073551C" w:rsidRPr="008A482B" w:rsidRDefault="0073551C" w:rsidP="00DA7D10">
      <w:pPr>
        <w:jc w:val="both"/>
        <w:rPr>
          <w:rFonts w:ascii="Arial" w:eastAsia="Times New Roman" w:hAnsi="Arial" w:cs="Arial"/>
          <w:sz w:val="22"/>
          <w:szCs w:val="22"/>
          <w:lang w:eastAsia="es-CO"/>
        </w:rPr>
      </w:pPr>
    </w:p>
    <w:p w14:paraId="68A5C9FC"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Ello se refuerza por lo dispuesto en el artículo 292 de la Ley 906 de 2004, de acuerdo con el cual la prescripción de la acción penal se interrumpe con la formulación de imputación y, una vez ella se ha producido, “comenzará a correr de nuevo por un término igual a la mitad del señalado en el artículo 83 del Código Penal.</w:t>
      </w:r>
    </w:p>
    <w:p w14:paraId="3B42ADC7" w14:textId="77777777" w:rsidR="0073551C" w:rsidRPr="008A482B" w:rsidRDefault="0073551C" w:rsidP="00DA7D10">
      <w:pPr>
        <w:jc w:val="both"/>
        <w:rPr>
          <w:rFonts w:ascii="Arial" w:eastAsia="Times New Roman" w:hAnsi="Arial" w:cs="Arial"/>
          <w:sz w:val="22"/>
          <w:szCs w:val="22"/>
          <w:lang w:eastAsia="es-CO"/>
        </w:rPr>
      </w:pPr>
    </w:p>
    <w:p w14:paraId="08116DFC"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En conclusión, se tiene en cuenta que en materia penal rige el principio de legalidad en sentido estricto, las normas sobre prescripción hacen parte del núcleo esencial del debido proceso, y constituyen un límite importante al ejercicio del poder punitivo del Estado.</w:t>
      </w:r>
    </w:p>
    <w:p w14:paraId="1FB502FD" w14:textId="77777777" w:rsidR="0073551C" w:rsidRPr="008A482B" w:rsidRDefault="0073551C" w:rsidP="0073551C">
      <w:pPr>
        <w:rPr>
          <w:rFonts w:ascii="Arial" w:eastAsia="Times New Roman" w:hAnsi="Arial" w:cs="Arial"/>
          <w:sz w:val="22"/>
          <w:szCs w:val="22"/>
          <w:lang w:eastAsia="es-CO"/>
        </w:rPr>
      </w:pPr>
    </w:p>
    <w:p w14:paraId="7E405E5A" w14:textId="348E76CC" w:rsidR="0073551C" w:rsidRPr="008A482B" w:rsidRDefault="00DA7D10" w:rsidP="00DA7D10">
      <w:pPr>
        <w:jc w:val="both"/>
        <w:rPr>
          <w:rFonts w:ascii="Arial" w:eastAsia="Times New Roman" w:hAnsi="Arial" w:cs="Arial"/>
          <w:b/>
          <w:bCs/>
          <w:sz w:val="22"/>
          <w:szCs w:val="22"/>
          <w:lang w:eastAsia="es-CO"/>
        </w:rPr>
      </w:pPr>
      <w:r>
        <w:rPr>
          <w:rFonts w:ascii="Arial" w:eastAsia="Times New Roman" w:hAnsi="Arial" w:cs="Arial"/>
          <w:b/>
          <w:bCs/>
          <w:sz w:val="22"/>
          <w:szCs w:val="22"/>
          <w:lang w:eastAsia="es-CO"/>
        </w:rPr>
        <w:t>6</w:t>
      </w:r>
      <w:r w:rsidR="0073551C" w:rsidRPr="008A482B">
        <w:rPr>
          <w:rFonts w:ascii="Arial" w:eastAsia="Times New Roman" w:hAnsi="Arial" w:cs="Arial"/>
          <w:b/>
          <w:bCs/>
          <w:sz w:val="22"/>
          <w:szCs w:val="22"/>
          <w:lang w:eastAsia="es-CO"/>
        </w:rPr>
        <w:t>.2 Análisis de constitucionalidad de la imprescriptibilidad de la acción penal</w:t>
      </w:r>
      <w:r w:rsidR="0073551C" w:rsidRPr="008A482B">
        <w:rPr>
          <w:rStyle w:val="Refdenotaalpie"/>
          <w:rFonts w:ascii="Arial" w:eastAsia="Times New Roman" w:hAnsi="Arial" w:cs="Arial"/>
          <w:b/>
          <w:bCs/>
          <w:sz w:val="22"/>
          <w:szCs w:val="22"/>
          <w:lang w:eastAsia="es-CO"/>
        </w:rPr>
        <w:footnoteReference w:id="8"/>
      </w:r>
      <w:r w:rsidR="0073551C" w:rsidRPr="008A482B">
        <w:rPr>
          <w:rFonts w:ascii="Arial" w:eastAsia="Times New Roman" w:hAnsi="Arial" w:cs="Arial"/>
          <w:b/>
          <w:bCs/>
          <w:sz w:val="22"/>
          <w:szCs w:val="22"/>
          <w:lang w:eastAsia="es-CO"/>
        </w:rPr>
        <w:t xml:space="preserve"> </w:t>
      </w:r>
    </w:p>
    <w:p w14:paraId="0670969D" w14:textId="77777777" w:rsidR="0073551C" w:rsidRPr="008A482B" w:rsidRDefault="0073551C" w:rsidP="0073551C">
      <w:pPr>
        <w:rPr>
          <w:rFonts w:ascii="Arial" w:eastAsia="Times New Roman" w:hAnsi="Arial" w:cs="Arial"/>
          <w:b/>
          <w:bCs/>
          <w:sz w:val="22"/>
          <w:szCs w:val="22"/>
          <w:lang w:eastAsia="es-CO"/>
        </w:rPr>
      </w:pPr>
    </w:p>
    <w:p w14:paraId="284EB883"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 xml:space="preserve">Establecidos los fundamentos legales y jurisprudenciales de la prescripción de la acción penal, procedemos a examinar la figura de imprescriptibilidad. </w:t>
      </w:r>
    </w:p>
    <w:p w14:paraId="6F094B42" w14:textId="77777777" w:rsidR="0073551C" w:rsidRPr="008A482B" w:rsidRDefault="0073551C" w:rsidP="00DA7D10">
      <w:pPr>
        <w:jc w:val="both"/>
        <w:rPr>
          <w:rFonts w:ascii="Arial" w:eastAsia="Times New Roman" w:hAnsi="Arial" w:cs="Arial"/>
          <w:sz w:val="22"/>
          <w:szCs w:val="22"/>
          <w:lang w:eastAsia="es-CO"/>
        </w:rPr>
      </w:pPr>
    </w:p>
    <w:p w14:paraId="529922BA"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 xml:space="preserve">Por tanto, a la luz de la Corte Constitucional en sentencia C-422 de 2021, que, “a diferencia de la prohibición de las penas imprescriptibles, la garantía de la no imprescriptibilidad de la acción penal carece de un carácter absoluto. La restricción en comento admite excepciones, siempre que se encuentren fundadas en el mayor peso concreto de los bienes constitucionales cuya realización se persigue mediante el establecimiento de la imprescriptibilidad de la acción penal. </w:t>
      </w:r>
    </w:p>
    <w:p w14:paraId="57D62E3C" w14:textId="77777777" w:rsidR="0073551C" w:rsidRPr="008A482B" w:rsidRDefault="0073551C" w:rsidP="00DA7D10">
      <w:pPr>
        <w:jc w:val="both"/>
        <w:rPr>
          <w:rFonts w:ascii="Arial" w:eastAsia="Times New Roman" w:hAnsi="Arial" w:cs="Arial"/>
          <w:sz w:val="22"/>
          <w:szCs w:val="22"/>
          <w:lang w:eastAsia="es-CO"/>
        </w:rPr>
      </w:pPr>
    </w:p>
    <w:p w14:paraId="4EB88684"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En primer lugar, pretende asegurar la protección efectiva de los derechos de las víctimas a la verdad, a la justicia y a la reparación. Estos derechos obtienen una satisfacción efectiva por cuanto la imprescriptibilidad de la acción penal permite que, en el marco de un proceso judicial, se esclarezcan las circunstancias fácticas y el contexto dentro del que acaecen estos delitos; de igual manera, es posible la imposición de castigos efectivos por la violación de los bienes jurídicos infringidos, y las víctimas pueden obtener acceso a medidas de compensación por el daño sufrido por ellas.</w:t>
      </w:r>
    </w:p>
    <w:p w14:paraId="180D642D"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 xml:space="preserve">En segundo lugar, la medida tiene por objeto erradicar la impunidad respecto de estos delitos. En la Sentencia C-580 de 2002, ampliamente citada con antelación, la Sala Plena manifestó que la lucha contra la impunidad en casos como este constituye un interés general «de carácter prevalente en los términos del artículo 1º de la carta política». </w:t>
      </w:r>
    </w:p>
    <w:p w14:paraId="54C8CD3E"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Según este planteamiento, además del propósito constitucional de amparar los derechos de las víctimas, la imprescriptibilidad de la acción penal procura satisfacer un bien jurídico que carece de las connotaciones subjetivas que tienen estos últimos: el citado interés colectivo de erradicar la impunidad de estos delitos mediante la investigación y juzgamiento de sus responsables. Lo anterior se funda en el hecho de que estos delitos no sólo afectan a las personas sobre las que recaen las acciones ilícitas, sino que alcanzan al conjunto de la comunidad, dada su gravedad y barbarie; por tal motivo, la investigación y el enjuiciamiento de estas conductas «compete[n] a la sociedad en su conjunto»</w:t>
      </w:r>
      <w:bookmarkStart w:id="1" w:name="ref_endnote_80"/>
      <w:bookmarkEnd w:id="1"/>
      <w:r w:rsidRPr="008A482B">
        <w:rPr>
          <w:rFonts w:ascii="Arial" w:hAnsi="Arial" w:cs="Arial"/>
          <w:sz w:val="22"/>
          <w:szCs w:val="22"/>
        </w:rPr>
        <w:t>.</w:t>
      </w:r>
    </w:p>
    <w:p w14:paraId="36769486"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En tercer lugar, la imprescriptibilidad de la acción penal en estos casos pretende contribuir a la solución de las enormes dificultades que se presentan durante su persecución y juzgamiento.” </w:t>
      </w:r>
    </w:p>
    <w:p w14:paraId="7E2C99B7"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Por último, “(…) la medida bajo estudio procura dar cumplimiento a los compromisos internacionales suscritos en materia de derechos humanos y derecho internacional humanitario. Estos instrumentos imponen al Estado la obligación de llevar a cabo todas las acciones que sean necesarias para garantizar la persecución eficaz de estos delitos.</w:t>
      </w:r>
    </w:p>
    <w:p w14:paraId="1011F4CC"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Una vez establecidos los fines que persigue esta medida, conviene analizar la valoración que ha hecho esta corporación en casos similares, en los que el legislador también ha establecido como regla el carácter imprescriptible de la acción penal respecto de otros delitos.”</w:t>
      </w:r>
    </w:p>
    <w:p w14:paraId="1BE8FE91"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En la Sentencia C-580 de 2002, la Corte manifestó que “la imprescriptibilidad de la acción penal, en el caso particular del delito de desaparición forzada, persigue los siguientes fines constitucionales: i) erradicar la impunidad de este delito, lo que, a su turno, exige (a) el conocimiento de la verdad detrás de estos crímenes por la sociedad y los afectados, (b) la atribución de responsabilidades individuales e institucionales y (c) la garantía del derecho de las víctimas a la justicia; (</w:t>
      </w:r>
      <w:proofErr w:type="spellStart"/>
      <w:r w:rsidRPr="008A482B">
        <w:rPr>
          <w:rFonts w:ascii="Arial" w:hAnsi="Arial" w:cs="Arial"/>
          <w:sz w:val="22"/>
          <w:szCs w:val="22"/>
        </w:rPr>
        <w:t>ii</w:t>
      </w:r>
      <w:proofErr w:type="spellEnd"/>
      <w:r w:rsidRPr="008A482B">
        <w:rPr>
          <w:rFonts w:ascii="Arial" w:hAnsi="Arial" w:cs="Arial"/>
          <w:sz w:val="22"/>
          <w:szCs w:val="22"/>
        </w:rPr>
        <w:t xml:space="preserve">) garantizar el derecho de las víctimas a la reparación de los </w:t>
      </w:r>
      <w:r w:rsidRPr="008A482B">
        <w:rPr>
          <w:rFonts w:ascii="Arial" w:hAnsi="Arial" w:cs="Arial"/>
          <w:sz w:val="22"/>
          <w:szCs w:val="22"/>
        </w:rPr>
        <w:lastRenderedPageBreak/>
        <w:t>daños sufridos; y (</w:t>
      </w:r>
      <w:proofErr w:type="spellStart"/>
      <w:r w:rsidRPr="008A482B">
        <w:rPr>
          <w:rFonts w:ascii="Arial" w:hAnsi="Arial" w:cs="Arial"/>
          <w:sz w:val="22"/>
          <w:szCs w:val="22"/>
        </w:rPr>
        <w:t>iii</w:t>
      </w:r>
      <w:proofErr w:type="spellEnd"/>
      <w:r w:rsidRPr="008A482B">
        <w:rPr>
          <w:rFonts w:ascii="Arial" w:hAnsi="Arial" w:cs="Arial"/>
          <w:sz w:val="22"/>
          <w:szCs w:val="22"/>
        </w:rPr>
        <w:t>) superar las dificultades que se presentan en el recaudo el material probatorio necesario y en el juzgamiento efectivo de los victimarios.”</w:t>
      </w:r>
    </w:p>
    <w:p w14:paraId="547ACCF4"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En la Sentencia C-370 de 2006, la Corte indicó que “la imprescriptibilidad de la acción penal en el caso de la desaparición forzada de personas encuentra asidero en los siguientes fines: «el interés en erradicar la impunidad, la necesidad de que la sociedad y los afectados conozcan la verdad y se atribuyan las responsabilidades individuales e institucionales correspondientes, y en general que se garantice el derecho de las víctimas a la justicia y a la reparación por los daños».”</w:t>
      </w:r>
    </w:p>
    <w:p w14:paraId="06158309"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En la Sentencia SU-312 de 2020, la Corte se pronunció sobre los fines constitucionales que persigue la regla de imprescriptibilidad de la acción penal respecto de los delitos de lesa humanidad, genocidio y crímenes de guerra. Por su importancia, se transcribe el apartado correspondiente:</w:t>
      </w:r>
    </w:p>
    <w:p w14:paraId="0250B44F"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“[E]n el ordenamiento jurídico nacional, por regla general, la acción penal prescribe en los términos establecidos por el legislador, pues con ello se garantiza el derecho al debido proceso de los asociados y se exige que exista efectividad en la persecución criminal por parte de las autoridades competentes. Sin embargo, en razón de las obligaciones internacionales que limitan las actuaciones del Estado colombiano y la necesidad de investigar y juzgar ciertas conductas dada su gravedad para el conglomerado social, a modo de excepción, la acción penal es imprescriptible frente a los delitos de lesa humanidad, el genocidio y los crímenes de guerra hasta que se individualice y vincule a un proceso al presunto responsable, porque a partir de este último momento inicia a contabilizarse el plazo de extinción respectivo” [énfasis fuera de texto].</w:t>
      </w:r>
    </w:p>
    <w:p w14:paraId="6D21EB7A" w14:textId="676CF9F7" w:rsidR="0073551C" w:rsidRPr="008A482B" w:rsidRDefault="00DA7D10" w:rsidP="0073551C">
      <w:pPr>
        <w:spacing w:after="240"/>
        <w:rPr>
          <w:rFonts w:ascii="Arial" w:hAnsi="Arial" w:cs="Arial"/>
          <w:b/>
          <w:bCs/>
          <w:sz w:val="22"/>
          <w:szCs w:val="22"/>
        </w:rPr>
      </w:pPr>
      <w:r>
        <w:rPr>
          <w:rFonts w:ascii="Arial" w:hAnsi="Arial" w:cs="Arial"/>
          <w:b/>
          <w:bCs/>
          <w:sz w:val="22"/>
          <w:szCs w:val="22"/>
        </w:rPr>
        <w:t>6</w:t>
      </w:r>
      <w:r w:rsidR="0073551C" w:rsidRPr="008A482B">
        <w:rPr>
          <w:rFonts w:ascii="Arial" w:hAnsi="Arial" w:cs="Arial"/>
          <w:b/>
          <w:bCs/>
          <w:sz w:val="22"/>
          <w:szCs w:val="22"/>
        </w:rPr>
        <w:t>.3</w:t>
      </w:r>
      <w:r w:rsidR="0073551C" w:rsidRPr="008A482B">
        <w:rPr>
          <w:rFonts w:ascii="Arial" w:hAnsi="Arial" w:cs="Arial"/>
          <w:b/>
          <w:bCs/>
          <w:sz w:val="22"/>
          <w:szCs w:val="22"/>
        </w:rPr>
        <w:tab/>
        <w:t xml:space="preserve">Pretensiones de la imprescriptibilidad de la acción penal planteada </w:t>
      </w:r>
    </w:p>
    <w:p w14:paraId="49538AAD"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La imprescriptibilidad de la acción penal que se plantea en este proyecto pretende asegurar la satisfacción de los siguientes fines constitucionales: </w:t>
      </w:r>
    </w:p>
    <w:p w14:paraId="24FBFA39" w14:textId="77777777" w:rsidR="0073551C" w:rsidRPr="008A482B" w:rsidRDefault="0073551C" w:rsidP="0073551C">
      <w:pPr>
        <w:pStyle w:val="Prrafodelista"/>
        <w:numPr>
          <w:ilvl w:val="0"/>
          <w:numId w:val="14"/>
        </w:numPr>
        <w:spacing w:after="240"/>
        <w:jc w:val="both"/>
        <w:rPr>
          <w:rFonts w:ascii="Arial" w:hAnsi="Arial" w:cs="Arial"/>
          <w:sz w:val="22"/>
          <w:szCs w:val="22"/>
        </w:rPr>
      </w:pPr>
      <w:r w:rsidRPr="008A482B">
        <w:rPr>
          <w:rFonts w:ascii="Arial" w:hAnsi="Arial" w:cs="Arial"/>
          <w:sz w:val="22"/>
          <w:szCs w:val="22"/>
        </w:rPr>
        <w:t>Proteger de manera efectiva los derechos de las víctimas a la verdad, a la justicia y a la reparación de las familias de los uniformados.</w:t>
      </w:r>
    </w:p>
    <w:p w14:paraId="71BB1B58" w14:textId="77777777" w:rsidR="0073551C" w:rsidRPr="008A482B" w:rsidRDefault="0073551C" w:rsidP="0073551C">
      <w:pPr>
        <w:pStyle w:val="Prrafodelista"/>
        <w:numPr>
          <w:ilvl w:val="0"/>
          <w:numId w:val="14"/>
        </w:numPr>
        <w:spacing w:after="240"/>
        <w:jc w:val="both"/>
        <w:rPr>
          <w:rFonts w:ascii="Arial" w:hAnsi="Arial" w:cs="Arial"/>
          <w:sz w:val="22"/>
          <w:szCs w:val="22"/>
        </w:rPr>
      </w:pPr>
      <w:r w:rsidRPr="008A482B">
        <w:rPr>
          <w:rFonts w:ascii="Arial" w:hAnsi="Arial" w:cs="Arial"/>
          <w:sz w:val="22"/>
          <w:szCs w:val="22"/>
        </w:rPr>
        <w:t>Erradicar la impunidad en torno a los delitos de homicidio contra integrantes de la Fuerza Pública.</w:t>
      </w:r>
    </w:p>
    <w:p w14:paraId="3214F97A" w14:textId="77777777" w:rsidR="0073551C" w:rsidRPr="008A482B" w:rsidRDefault="0073551C" w:rsidP="0073551C">
      <w:pPr>
        <w:pStyle w:val="Prrafodelista"/>
        <w:numPr>
          <w:ilvl w:val="0"/>
          <w:numId w:val="14"/>
        </w:numPr>
        <w:spacing w:after="240"/>
        <w:jc w:val="both"/>
        <w:rPr>
          <w:rFonts w:ascii="Arial" w:hAnsi="Arial" w:cs="Arial"/>
          <w:sz w:val="22"/>
          <w:szCs w:val="22"/>
        </w:rPr>
      </w:pPr>
      <w:r w:rsidRPr="008A482B">
        <w:rPr>
          <w:rFonts w:ascii="Arial" w:hAnsi="Arial" w:cs="Arial"/>
          <w:sz w:val="22"/>
          <w:szCs w:val="22"/>
        </w:rPr>
        <w:t>Contribuir a la solución de las enormes dificultades que se presentan durante la investigación y juzgamiento de los múltiples homicidios contra la Fuerza Pública.</w:t>
      </w:r>
    </w:p>
    <w:p w14:paraId="69B3968F" w14:textId="77777777" w:rsidR="0073551C" w:rsidRPr="008A482B" w:rsidRDefault="0073551C" w:rsidP="0073551C">
      <w:pPr>
        <w:pStyle w:val="Prrafodelista"/>
        <w:numPr>
          <w:ilvl w:val="0"/>
          <w:numId w:val="14"/>
        </w:numPr>
        <w:spacing w:after="240"/>
        <w:jc w:val="both"/>
        <w:rPr>
          <w:rFonts w:ascii="Arial" w:hAnsi="Arial" w:cs="Arial"/>
          <w:sz w:val="22"/>
          <w:szCs w:val="22"/>
        </w:rPr>
      </w:pPr>
      <w:r w:rsidRPr="008A482B">
        <w:rPr>
          <w:rFonts w:ascii="Arial" w:hAnsi="Arial" w:cs="Arial"/>
          <w:sz w:val="22"/>
          <w:szCs w:val="22"/>
        </w:rPr>
        <w:t>Aportar al cumplimiento de los compromisos internacionales suscritos en materia de derechos humanos y derecho internacional humanitario, los cuales imponen al Estado el mandato de adoptar todas las acciones que sean necesarias para garantizar la persecución eficaz de los delitos que atenten contra los derechos humanos.</w:t>
      </w:r>
    </w:p>
    <w:p w14:paraId="29A3D29A" w14:textId="77777777" w:rsidR="0073551C" w:rsidRPr="008A482B" w:rsidRDefault="0073551C" w:rsidP="00DA7D10">
      <w:pPr>
        <w:spacing w:after="240"/>
        <w:jc w:val="both"/>
        <w:rPr>
          <w:rFonts w:ascii="Arial" w:hAnsi="Arial" w:cs="Arial"/>
          <w:sz w:val="22"/>
          <w:szCs w:val="22"/>
        </w:rPr>
      </w:pPr>
      <w:r w:rsidRPr="008A482B">
        <w:rPr>
          <w:rFonts w:ascii="Arial" w:hAnsi="Arial" w:cs="Arial"/>
          <w:sz w:val="22"/>
          <w:szCs w:val="22"/>
        </w:rPr>
        <w:t>El juicio estricto de proporcionalidad que exige la Corte Constitucional es que el medio elegido por el legislador para alcanzar el fin buscado no se encuentre prohibido en sí mismo. En este caso, el medio para garantizar la protección efectiva de los valores constitucionales comprometidos con la comisión de los delitos de homicidio contra los integrantes de la Fuerza Pública es el establecimiento de la imprescriptibilidad de la acción penal para procesar esas conductas, el cual resulta necesario por dos razones: </w:t>
      </w:r>
    </w:p>
    <w:p w14:paraId="0CD331F2" w14:textId="77777777" w:rsidR="0073551C" w:rsidRPr="008A482B" w:rsidRDefault="0073551C" w:rsidP="00DA7D10">
      <w:pPr>
        <w:pStyle w:val="Prrafodelista"/>
        <w:numPr>
          <w:ilvl w:val="0"/>
          <w:numId w:val="15"/>
        </w:numPr>
        <w:spacing w:after="240"/>
        <w:jc w:val="both"/>
        <w:rPr>
          <w:rFonts w:ascii="Arial" w:hAnsi="Arial" w:cs="Arial"/>
          <w:sz w:val="22"/>
          <w:szCs w:val="22"/>
        </w:rPr>
      </w:pPr>
      <w:r w:rsidRPr="008A482B">
        <w:rPr>
          <w:rFonts w:ascii="Arial" w:hAnsi="Arial" w:cs="Arial"/>
          <w:sz w:val="22"/>
          <w:szCs w:val="22"/>
        </w:rPr>
        <w:lastRenderedPageBreak/>
        <w:t xml:space="preserve">El ordenamiento jurídico no cuenta con otros medios que conduzcan a un cumplimiento comparable de los fines constitucionales que se persiguen mediante la imprescriptibilidad de la acción penal. </w:t>
      </w:r>
    </w:p>
    <w:p w14:paraId="1D2FB5C8" w14:textId="48E565CD" w:rsidR="0073551C" w:rsidRDefault="0073551C" w:rsidP="00DA7D10">
      <w:pPr>
        <w:pStyle w:val="Prrafodelista"/>
        <w:numPr>
          <w:ilvl w:val="0"/>
          <w:numId w:val="15"/>
        </w:numPr>
        <w:spacing w:after="240"/>
        <w:jc w:val="both"/>
        <w:rPr>
          <w:rFonts w:ascii="Arial" w:hAnsi="Arial" w:cs="Arial"/>
          <w:sz w:val="22"/>
          <w:szCs w:val="22"/>
        </w:rPr>
      </w:pPr>
      <w:r w:rsidRPr="008A482B">
        <w:rPr>
          <w:rFonts w:ascii="Arial" w:hAnsi="Arial" w:cs="Arial"/>
          <w:sz w:val="22"/>
          <w:szCs w:val="22"/>
        </w:rPr>
        <w:t>Esta medida resulta estrictamente imprescindible, habida cuenta de que el juzgamiento de estos delitos sólo es posible cuando ha transcurrido un lapso considerable de tiempo desde su ejecución.</w:t>
      </w:r>
    </w:p>
    <w:p w14:paraId="237F53B9" w14:textId="66BBA969" w:rsidR="00DA7D10" w:rsidRDefault="00DA7D10" w:rsidP="00DA7D10">
      <w:pPr>
        <w:pStyle w:val="Prrafodelista"/>
        <w:spacing w:after="240"/>
        <w:ind w:left="1080"/>
        <w:jc w:val="both"/>
        <w:rPr>
          <w:rFonts w:ascii="Arial" w:hAnsi="Arial" w:cs="Arial"/>
          <w:sz w:val="22"/>
          <w:szCs w:val="22"/>
        </w:rPr>
      </w:pPr>
    </w:p>
    <w:p w14:paraId="485F0CBE" w14:textId="77777777" w:rsidR="00DA7D10" w:rsidRPr="008A482B" w:rsidRDefault="00DA7D10" w:rsidP="00DA7D10">
      <w:pPr>
        <w:pStyle w:val="Prrafodelista"/>
        <w:spacing w:after="240"/>
        <w:ind w:left="1080"/>
        <w:jc w:val="both"/>
        <w:rPr>
          <w:rFonts w:ascii="Arial" w:hAnsi="Arial" w:cs="Arial"/>
          <w:sz w:val="22"/>
          <w:szCs w:val="22"/>
        </w:rPr>
      </w:pPr>
    </w:p>
    <w:p w14:paraId="4A5D7B38" w14:textId="0D420864" w:rsidR="0073551C" w:rsidRPr="00DA7D10" w:rsidRDefault="0073551C" w:rsidP="00DA7D10">
      <w:pPr>
        <w:pStyle w:val="Prrafodelista"/>
        <w:numPr>
          <w:ilvl w:val="0"/>
          <w:numId w:val="16"/>
        </w:numPr>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ab/>
      </w:r>
      <w:r w:rsidR="00DA7D10" w:rsidRPr="00DA7D10">
        <w:rPr>
          <w:rFonts w:ascii="Arial" w:eastAsia="Times New Roman" w:hAnsi="Arial" w:cs="Arial"/>
          <w:b/>
          <w:bCs/>
          <w:sz w:val="22"/>
          <w:szCs w:val="22"/>
          <w:lang w:eastAsia="es-CO"/>
        </w:rPr>
        <w:t>IMPACTO FISCAL</w:t>
      </w:r>
    </w:p>
    <w:p w14:paraId="7F4CEAB5" w14:textId="77777777" w:rsidR="0073551C" w:rsidRPr="008A482B" w:rsidRDefault="0073551C" w:rsidP="0073551C">
      <w:pPr>
        <w:rPr>
          <w:rFonts w:ascii="Arial" w:eastAsia="Times New Roman" w:hAnsi="Arial" w:cs="Arial"/>
          <w:i/>
          <w:iCs/>
          <w:sz w:val="22"/>
          <w:szCs w:val="22"/>
          <w:lang w:eastAsia="es-CO"/>
        </w:rPr>
      </w:pPr>
    </w:p>
    <w:p w14:paraId="44D51A04" w14:textId="77777777" w:rsidR="0073551C" w:rsidRPr="008A482B" w:rsidRDefault="0073551C" w:rsidP="00DA7D10">
      <w:pPr>
        <w:jc w:val="both"/>
        <w:rPr>
          <w:rFonts w:ascii="Arial" w:eastAsia="Times New Roman" w:hAnsi="Arial" w:cs="Arial"/>
          <w:sz w:val="22"/>
          <w:szCs w:val="22"/>
          <w:lang w:eastAsia="es-CO"/>
        </w:rPr>
      </w:pPr>
      <w:r w:rsidRPr="008A482B">
        <w:rPr>
          <w:rFonts w:ascii="Arial" w:eastAsia="Times New Roman" w:hAnsi="Arial" w:cs="Arial"/>
          <w:i/>
          <w:iCs/>
          <w:sz w:val="22"/>
          <w:szCs w:val="22"/>
          <w:lang w:eastAsia="es-CO"/>
        </w:rPr>
        <w:t>El artículo</w:t>
      </w:r>
      <w:r w:rsidRPr="008A482B">
        <w:rPr>
          <w:rFonts w:ascii="Arial" w:eastAsia="Times New Roman" w:hAnsi="Arial" w:cs="Arial"/>
          <w:sz w:val="22"/>
          <w:szCs w:val="22"/>
          <w:lang w:eastAsia="es-CO"/>
        </w:rPr>
        <w:t xml:space="preserve"> 7 de la Ley 819 de 2.003 establece que “</w:t>
      </w:r>
      <w:r w:rsidRPr="008A482B">
        <w:rPr>
          <w:rFonts w:ascii="Arial" w:eastAsia="Times New Roman" w:hAnsi="Arial" w:cs="Arial"/>
          <w:i/>
          <w:iCs/>
          <w:sz w:val="22"/>
          <w:szCs w:val="22"/>
          <w:lang w:eastAsia="es-CO"/>
        </w:rPr>
        <w:t>el impacto fiscal de cualquier proyecto de ley, ordenanza o acuerdo, que ordene gasto o que otorgue beneficios tributarios, deberá hacerse explícito y deberá ser compatible con el Marco Fiscal de Mediano Plazo</w:t>
      </w:r>
      <w:r w:rsidRPr="008A482B">
        <w:rPr>
          <w:rFonts w:ascii="Arial" w:eastAsia="Times New Roman" w:hAnsi="Arial" w:cs="Arial"/>
          <w:sz w:val="22"/>
          <w:szCs w:val="22"/>
          <w:lang w:eastAsia="es-CO"/>
        </w:rPr>
        <w:t>.”</w:t>
      </w:r>
    </w:p>
    <w:p w14:paraId="3E53D376" w14:textId="77777777" w:rsidR="0073551C" w:rsidRPr="008A482B" w:rsidRDefault="0073551C" w:rsidP="00DA7D10">
      <w:pPr>
        <w:jc w:val="both"/>
        <w:rPr>
          <w:rFonts w:ascii="Arial" w:eastAsia="Times New Roman" w:hAnsi="Arial" w:cs="Arial"/>
          <w:sz w:val="22"/>
          <w:szCs w:val="22"/>
          <w:lang w:eastAsia="es-CO"/>
        </w:rPr>
      </w:pPr>
    </w:p>
    <w:p w14:paraId="30E41EB3" w14:textId="400D3BF1" w:rsidR="0073551C" w:rsidRDefault="0073551C" w:rsidP="00DA7D10">
      <w:pPr>
        <w:jc w:val="both"/>
        <w:rPr>
          <w:rFonts w:ascii="Arial" w:eastAsia="Times New Roman" w:hAnsi="Arial" w:cs="Arial"/>
          <w:sz w:val="22"/>
          <w:szCs w:val="22"/>
          <w:lang w:eastAsia="es-CO"/>
        </w:rPr>
      </w:pPr>
      <w:r w:rsidRPr="008A482B">
        <w:rPr>
          <w:rFonts w:ascii="Arial" w:eastAsia="Times New Roman" w:hAnsi="Arial" w:cs="Arial"/>
          <w:sz w:val="22"/>
          <w:szCs w:val="22"/>
          <w:lang w:eastAsia="es-CO"/>
        </w:rPr>
        <w:t>En cumplimiento de dicho presupuesto normativo, se remitió copia de este Proyecto de Ley al Ministerio de Hacienda y Crédito Público, para que, en el marco de sus competencias, determinen la viabilidad fiscal de este proyecto y remitan concepto para que sea evaluado al momento de presentar ponencia de primer debate.</w:t>
      </w:r>
    </w:p>
    <w:p w14:paraId="56C163EB" w14:textId="77777777" w:rsidR="00DA7D10" w:rsidRPr="008A482B" w:rsidRDefault="00DA7D10" w:rsidP="00DA7D10">
      <w:pPr>
        <w:jc w:val="both"/>
        <w:rPr>
          <w:rFonts w:ascii="Arial" w:eastAsia="Times New Roman" w:hAnsi="Arial" w:cs="Arial"/>
          <w:sz w:val="22"/>
          <w:szCs w:val="22"/>
          <w:lang w:eastAsia="es-CO"/>
        </w:rPr>
      </w:pPr>
    </w:p>
    <w:p w14:paraId="3A7A81C9" w14:textId="77777777" w:rsidR="0073551C" w:rsidRPr="008A482B" w:rsidRDefault="0073551C" w:rsidP="0073551C">
      <w:pPr>
        <w:ind w:left="705" w:hanging="705"/>
        <w:rPr>
          <w:rFonts w:ascii="Arial" w:eastAsia="Times New Roman" w:hAnsi="Arial" w:cs="Arial"/>
          <w:b/>
          <w:bCs/>
          <w:sz w:val="22"/>
          <w:szCs w:val="22"/>
          <w:lang w:eastAsia="es-CO"/>
        </w:rPr>
      </w:pPr>
    </w:p>
    <w:p w14:paraId="08D1BDCF" w14:textId="5C628FAB" w:rsidR="0073551C" w:rsidRPr="00DA7D10" w:rsidRDefault="00DA7D10" w:rsidP="00DA7D10">
      <w:pPr>
        <w:pStyle w:val="Prrafodelista"/>
        <w:numPr>
          <w:ilvl w:val="0"/>
          <w:numId w:val="16"/>
        </w:numPr>
        <w:jc w:val="both"/>
        <w:rPr>
          <w:rFonts w:ascii="Arial" w:eastAsia="Times New Roman" w:hAnsi="Arial" w:cs="Arial"/>
          <w:b/>
          <w:bCs/>
          <w:sz w:val="22"/>
          <w:szCs w:val="22"/>
          <w:lang w:eastAsia="es-CO"/>
        </w:rPr>
      </w:pPr>
      <w:r w:rsidRPr="00DA7D10">
        <w:rPr>
          <w:rFonts w:ascii="Arial" w:eastAsia="Times New Roman" w:hAnsi="Arial" w:cs="Arial"/>
          <w:b/>
          <w:bCs/>
          <w:sz w:val="22"/>
          <w:szCs w:val="22"/>
          <w:lang w:eastAsia="es-CO"/>
        </w:rPr>
        <w:t>DECLARACIÓN DE IMPEDIMENTOS DE LA LEY 2003 DE 2019 QUE MODIFICA EL ARTÍCULO 291 DE LA LEY 5 DE 1992</w:t>
      </w:r>
    </w:p>
    <w:p w14:paraId="716B741B" w14:textId="77777777" w:rsidR="0073551C" w:rsidRPr="008A482B" w:rsidRDefault="0073551C" w:rsidP="0073551C">
      <w:pPr>
        <w:rPr>
          <w:rFonts w:ascii="Arial" w:eastAsia="Times New Roman" w:hAnsi="Arial" w:cs="Arial"/>
          <w:sz w:val="22"/>
          <w:szCs w:val="22"/>
          <w:lang w:eastAsia="es-CO"/>
        </w:rPr>
      </w:pPr>
    </w:p>
    <w:p w14:paraId="42521BB5"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El presente Proyecto de Ley es de carácter general, sin embargo, en cumplimiento de la Ley 2003 de 2019, se hace la salvedad de que corresponde a la esfera privada de cada uno de los congresistas el examen del contenido del presente Proyecto de Ley, y de otros elementos que puedan derivarse o entenderse como generadores de conflicto de interés.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p>
    <w:p w14:paraId="62FDB7CF" w14:textId="77777777" w:rsidR="0073551C" w:rsidRPr="008A482B" w:rsidRDefault="0073551C" w:rsidP="00DA7D10">
      <w:pPr>
        <w:jc w:val="both"/>
        <w:rPr>
          <w:rFonts w:ascii="Arial" w:hAnsi="Arial" w:cs="Arial"/>
          <w:sz w:val="22"/>
          <w:szCs w:val="22"/>
        </w:rPr>
      </w:pPr>
    </w:p>
    <w:p w14:paraId="3A815DDC" w14:textId="77777777" w:rsidR="0073551C" w:rsidRPr="008A482B" w:rsidRDefault="0073551C" w:rsidP="00DA7D10">
      <w:pPr>
        <w:jc w:val="both"/>
        <w:rPr>
          <w:rFonts w:ascii="Arial" w:hAnsi="Arial" w:cs="Arial"/>
          <w:sz w:val="22"/>
          <w:szCs w:val="22"/>
        </w:rPr>
      </w:pPr>
      <w:r w:rsidRPr="008A482B">
        <w:rPr>
          <w:rFonts w:ascii="Arial" w:hAnsi="Arial" w:cs="Arial"/>
          <w:sz w:val="22"/>
          <w:szCs w:val="22"/>
        </w:rPr>
        <w:t>Por las razones anteriormente expuestas, se pone en consideración del Honorable Congreso de la República el presente Proyecto de Ley, que responde a la urgente necesidad de brindar a las familias de los integrantes de la fuerza pública asesinados, una garantía de acceso a la justicia, verdad, reparación y no repetición.</w:t>
      </w:r>
    </w:p>
    <w:p w14:paraId="04EF2147" w14:textId="77777777" w:rsidR="00B522FB" w:rsidRPr="008A482B" w:rsidRDefault="00B522FB" w:rsidP="00F07255">
      <w:pPr>
        <w:rPr>
          <w:rFonts w:ascii="Arial" w:hAnsi="Arial" w:cs="Arial"/>
          <w:sz w:val="22"/>
          <w:szCs w:val="22"/>
        </w:rPr>
      </w:pPr>
      <w:r w:rsidRPr="008A482B">
        <w:rPr>
          <w:rFonts w:ascii="Arial" w:hAnsi="Arial" w:cs="Arial"/>
          <w:sz w:val="22"/>
          <w:szCs w:val="22"/>
        </w:rPr>
        <w:br/>
      </w:r>
    </w:p>
    <w:p w14:paraId="64DC57B7" w14:textId="354F57D1" w:rsidR="00B522FB" w:rsidRPr="008A482B" w:rsidRDefault="00B522FB" w:rsidP="00DA7D10">
      <w:pPr>
        <w:pStyle w:val="Ttulo2"/>
        <w:numPr>
          <w:ilvl w:val="0"/>
          <w:numId w:val="16"/>
        </w:numPr>
        <w:spacing w:before="0" w:line="240" w:lineRule="auto"/>
        <w:textAlignment w:val="baseline"/>
        <w:rPr>
          <w:rFonts w:ascii="Arial" w:hAnsi="Arial" w:cs="Arial"/>
          <w:b/>
          <w:bCs/>
          <w:color w:val="000000"/>
          <w:sz w:val="22"/>
          <w:szCs w:val="22"/>
        </w:rPr>
      </w:pPr>
      <w:r w:rsidRPr="008A482B">
        <w:rPr>
          <w:rFonts w:ascii="Arial" w:hAnsi="Arial" w:cs="Arial"/>
          <w:b/>
          <w:bCs/>
          <w:color w:val="000000"/>
          <w:sz w:val="22"/>
          <w:szCs w:val="22"/>
        </w:rPr>
        <w:t>COMPETENCIA DEL CONGRESO.</w:t>
      </w:r>
    </w:p>
    <w:p w14:paraId="741DE6C9" w14:textId="77777777" w:rsidR="00B522FB" w:rsidRPr="008A482B" w:rsidRDefault="00B522FB" w:rsidP="00F07255">
      <w:pPr>
        <w:rPr>
          <w:rFonts w:ascii="Arial" w:hAnsi="Arial" w:cs="Arial"/>
          <w:sz w:val="22"/>
          <w:szCs w:val="22"/>
        </w:rPr>
      </w:pPr>
    </w:p>
    <w:p w14:paraId="3A2BAF05"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b/>
          <w:bCs/>
          <w:color w:val="000000"/>
          <w:sz w:val="22"/>
          <w:szCs w:val="22"/>
        </w:rPr>
        <w:t>CONSTITUCIONAL:</w:t>
      </w:r>
    </w:p>
    <w:p w14:paraId="38E6325A" w14:textId="77777777" w:rsidR="00B522FB" w:rsidRPr="008A482B" w:rsidRDefault="00B522FB" w:rsidP="00F07255">
      <w:pPr>
        <w:rPr>
          <w:rFonts w:ascii="Arial" w:hAnsi="Arial" w:cs="Arial"/>
          <w:sz w:val="22"/>
          <w:szCs w:val="22"/>
        </w:rPr>
      </w:pPr>
    </w:p>
    <w:p w14:paraId="722670DF"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b/>
          <w:bCs/>
          <w:color w:val="000000"/>
          <w:sz w:val="22"/>
          <w:szCs w:val="22"/>
        </w:rPr>
        <w:t>ARTICULO 114</w:t>
      </w:r>
      <w:r w:rsidRPr="008A482B">
        <w:rPr>
          <w:rFonts w:ascii="Arial" w:hAnsi="Arial" w:cs="Arial"/>
          <w:color w:val="000000"/>
          <w:sz w:val="22"/>
          <w:szCs w:val="22"/>
        </w:rPr>
        <w:t>. Corresponde al Congreso de la República reformar la Constitución, hacer las leyes y ejercer control político sobre el gobierno y la administración.</w:t>
      </w:r>
    </w:p>
    <w:p w14:paraId="47C51478" w14:textId="77777777" w:rsidR="00B522FB" w:rsidRPr="008A482B" w:rsidRDefault="00B522FB" w:rsidP="00F07255">
      <w:pPr>
        <w:rPr>
          <w:rFonts w:ascii="Arial" w:hAnsi="Arial" w:cs="Arial"/>
          <w:sz w:val="22"/>
          <w:szCs w:val="22"/>
        </w:rPr>
      </w:pPr>
    </w:p>
    <w:p w14:paraId="6EAF2A5D"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color w:val="000000"/>
          <w:sz w:val="22"/>
          <w:szCs w:val="22"/>
        </w:rPr>
        <w:t>El Congreso de la República, estará integrado por el Senado y la Cámara de Representantes</w:t>
      </w:r>
    </w:p>
    <w:p w14:paraId="50F92BC5" w14:textId="77777777" w:rsidR="00B522FB" w:rsidRPr="008A482B" w:rsidRDefault="00B522FB" w:rsidP="00F07255">
      <w:pPr>
        <w:rPr>
          <w:rFonts w:ascii="Arial" w:hAnsi="Arial" w:cs="Arial"/>
          <w:sz w:val="22"/>
          <w:szCs w:val="22"/>
        </w:rPr>
      </w:pPr>
    </w:p>
    <w:p w14:paraId="0210F352"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b/>
          <w:bCs/>
          <w:color w:val="000000"/>
          <w:sz w:val="22"/>
          <w:szCs w:val="22"/>
        </w:rPr>
        <w:t>ARTICULO  150</w:t>
      </w:r>
      <w:r w:rsidRPr="008A482B">
        <w:rPr>
          <w:rFonts w:ascii="Arial" w:hAnsi="Arial" w:cs="Arial"/>
          <w:color w:val="000000"/>
          <w:sz w:val="22"/>
          <w:szCs w:val="22"/>
        </w:rPr>
        <w:t>. Corresponde al Congreso hacer las leyes. Por medio de ellas ejerce las siguientes funciones:</w:t>
      </w:r>
    </w:p>
    <w:p w14:paraId="5F534097" w14:textId="4E818298" w:rsidR="00B522FB" w:rsidRPr="008A482B" w:rsidRDefault="00B522FB" w:rsidP="00F07255">
      <w:pPr>
        <w:rPr>
          <w:rFonts w:ascii="Arial" w:hAnsi="Arial" w:cs="Arial"/>
          <w:sz w:val="22"/>
          <w:szCs w:val="22"/>
        </w:rPr>
      </w:pPr>
    </w:p>
    <w:p w14:paraId="17E1DCB8" w14:textId="77777777" w:rsidR="00B522FB" w:rsidRPr="008A482B" w:rsidRDefault="00B522FB">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8A482B">
        <w:rPr>
          <w:rFonts w:ascii="Arial" w:hAnsi="Arial" w:cs="Arial"/>
          <w:color w:val="000000"/>
          <w:sz w:val="22"/>
          <w:szCs w:val="22"/>
        </w:rPr>
        <w:lastRenderedPageBreak/>
        <w:t>Interpretar, reformar y derogar las leyes. </w:t>
      </w:r>
    </w:p>
    <w:p w14:paraId="4EDD2CA0" w14:textId="3BE342A7" w:rsidR="00B522FB" w:rsidRPr="008A482B" w:rsidRDefault="00B522FB" w:rsidP="00F07255">
      <w:pPr>
        <w:pStyle w:val="Prrafodelista"/>
        <w:ind w:left="1428"/>
        <w:rPr>
          <w:rFonts w:ascii="Arial" w:hAnsi="Arial" w:cs="Arial"/>
          <w:sz w:val="22"/>
          <w:szCs w:val="22"/>
        </w:rPr>
      </w:pPr>
    </w:p>
    <w:p w14:paraId="1605CF4B" w14:textId="77777777" w:rsidR="00B522FB" w:rsidRPr="008A482B" w:rsidRDefault="00B522FB">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8A482B">
        <w:rPr>
          <w:rFonts w:ascii="Arial" w:hAnsi="Arial" w:cs="Arial"/>
          <w:color w:val="000000"/>
          <w:sz w:val="22"/>
          <w:szCs w:val="22"/>
        </w:rPr>
        <w:t>Expedir códigos en todos los ramos de la legislación y reformar sus disposiciones.</w:t>
      </w:r>
    </w:p>
    <w:p w14:paraId="77EE2990" w14:textId="1880CCDF" w:rsidR="00B522FB" w:rsidRPr="008A482B" w:rsidRDefault="00B522FB" w:rsidP="00F07255">
      <w:pPr>
        <w:pStyle w:val="Prrafodelista"/>
        <w:ind w:left="1428"/>
        <w:rPr>
          <w:rFonts w:ascii="Arial" w:hAnsi="Arial" w:cs="Arial"/>
          <w:sz w:val="22"/>
          <w:szCs w:val="22"/>
        </w:rPr>
      </w:pPr>
    </w:p>
    <w:p w14:paraId="06BD77CC" w14:textId="77777777" w:rsidR="00B522FB" w:rsidRPr="008A482B" w:rsidRDefault="00B522FB">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8A482B">
        <w:rPr>
          <w:rFonts w:ascii="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DA9719A" w14:textId="20405670" w:rsidR="00B522FB" w:rsidRPr="008A482B" w:rsidRDefault="00B522FB" w:rsidP="00F07255">
      <w:pPr>
        <w:pStyle w:val="Prrafodelista"/>
        <w:ind w:left="1428"/>
        <w:rPr>
          <w:rFonts w:ascii="Arial" w:hAnsi="Arial" w:cs="Arial"/>
          <w:sz w:val="22"/>
          <w:szCs w:val="22"/>
        </w:rPr>
      </w:pPr>
    </w:p>
    <w:p w14:paraId="5877E607" w14:textId="77777777" w:rsidR="00B522FB" w:rsidRPr="008A482B" w:rsidRDefault="00B522FB">
      <w:pPr>
        <w:pStyle w:val="NormalWeb"/>
        <w:numPr>
          <w:ilvl w:val="0"/>
          <w:numId w:val="9"/>
        </w:numPr>
        <w:spacing w:before="0" w:beforeAutospacing="0" w:after="0" w:afterAutospacing="0"/>
        <w:jc w:val="both"/>
        <w:textAlignment w:val="baseline"/>
        <w:rPr>
          <w:rFonts w:ascii="Arial" w:hAnsi="Arial" w:cs="Arial"/>
          <w:color w:val="000000"/>
          <w:sz w:val="22"/>
          <w:szCs w:val="22"/>
        </w:rPr>
      </w:pPr>
      <w:r w:rsidRPr="008A482B">
        <w:rPr>
          <w:rFonts w:ascii="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544C0B3C" w14:textId="77777777" w:rsidR="00B522FB" w:rsidRPr="008A482B" w:rsidRDefault="00B522FB" w:rsidP="00F07255">
      <w:pPr>
        <w:pStyle w:val="NormalWeb"/>
        <w:spacing w:before="0" w:beforeAutospacing="0" w:after="0" w:afterAutospacing="0"/>
        <w:jc w:val="both"/>
        <w:rPr>
          <w:rFonts w:ascii="Arial" w:hAnsi="Arial" w:cs="Arial"/>
          <w:b/>
          <w:bCs/>
          <w:color w:val="000000"/>
          <w:sz w:val="22"/>
          <w:szCs w:val="22"/>
        </w:rPr>
      </w:pPr>
    </w:p>
    <w:p w14:paraId="16F545FB" w14:textId="0457E3AD"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b/>
          <w:bCs/>
          <w:color w:val="000000"/>
          <w:sz w:val="22"/>
          <w:szCs w:val="22"/>
        </w:rPr>
        <w:t>LEGAL:</w:t>
      </w:r>
    </w:p>
    <w:p w14:paraId="5A8A615C" w14:textId="77777777" w:rsidR="00B522FB" w:rsidRPr="008A482B" w:rsidRDefault="00B522FB" w:rsidP="00F07255">
      <w:pPr>
        <w:rPr>
          <w:rFonts w:ascii="Arial" w:hAnsi="Arial" w:cs="Arial"/>
          <w:sz w:val="22"/>
          <w:szCs w:val="22"/>
        </w:rPr>
      </w:pPr>
    </w:p>
    <w:p w14:paraId="09C5E296"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b/>
          <w:bCs/>
          <w:color w:val="000000"/>
          <w:sz w:val="22"/>
          <w:szCs w:val="22"/>
        </w:rPr>
        <w:t>LEY 3 DE 1992. POR LA CUAL SE EXPIDEN NORMAS SOBRE LAS COMISIONES DEL CONGRESO DE COLOMBIA Y SE DICTAN OTRAS DISPOSICIONES.</w:t>
      </w:r>
    </w:p>
    <w:p w14:paraId="07925802" w14:textId="77777777" w:rsidR="00B522FB" w:rsidRPr="008A482B" w:rsidRDefault="00B522FB" w:rsidP="00F07255">
      <w:pPr>
        <w:rPr>
          <w:rFonts w:ascii="Arial" w:hAnsi="Arial" w:cs="Arial"/>
          <w:sz w:val="22"/>
          <w:szCs w:val="22"/>
        </w:rPr>
      </w:pPr>
    </w:p>
    <w:p w14:paraId="1446EB18"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b/>
          <w:bCs/>
          <w:i/>
          <w:iCs/>
          <w:color w:val="000000"/>
          <w:sz w:val="22"/>
          <w:szCs w:val="22"/>
        </w:rPr>
        <w:t xml:space="preserve">ARTÍCULO 2º </w:t>
      </w:r>
      <w:r w:rsidRPr="008A482B">
        <w:rPr>
          <w:rFonts w:ascii="Arial" w:hAnsi="Arial" w:cs="Arial"/>
          <w:i/>
          <w:iCs/>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7FB5AB31" w14:textId="77777777" w:rsidR="00B522FB" w:rsidRPr="008A482B" w:rsidRDefault="00B522FB" w:rsidP="00F07255">
      <w:pPr>
        <w:rPr>
          <w:rFonts w:ascii="Arial" w:hAnsi="Arial" w:cs="Arial"/>
          <w:sz w:val="22"/>
          <w:szCs w:val="22"/>
        </w:rPr>
      </w:pPr>
    </w:p>
    <w:p w14:paraId="77756ED5"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i/>
          <w:iCs/>
          <w:color w:val="000000"/>
          <w:sz w:val="22"/>
          <w:szCs w:val="22"/>
        </w:rPr>
        <w:t>Las Comisiones Constitucionales Permanentes en cada una de las Cámaras serán siete (7) a saber:</w:t>
      </w:r>
    </w:p>
    <w:p w14:paraId="6F29E147" w14:textId="77777777" w:rsidR="00B522FB" w:rsidRPr="008A482B" w:rsidRDefault="00B522FB" w:rsidP="00F07255">
      <w:pPr>
        <w:rPr>
          <w:rFonts w:ascii="Arial" w:hAnsi="Arial" w:cs="Arial"/>
          <w:sz w:val="22"/>
          <w:szCs w:val="22"/>
        </w:rPr>
      </w:pPr>
    </w:p>
    <w:p w14:paraId="34B46365"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i/>
          <w:iCs/>
          <w:color w:val="000000"/>
          <w:sz w:val="22"/>
          <w:szCs w:val="22"/>
        </w:rPr>
        <w:t>Comisión Primera.</w:t>
      </w:r>
    </w:p>
    <w:p w14:paraId="0755E440" w14:textId="77777777" w:rsidR="00B522FB" w:rsidRPr="008A482B" w:rsidRDefault="00B522FB" w:rsidP="00F07255">
      <w:pPr>
        <w:rPr>
          <w:rFonts w:ascii="Arial" w:hAnsi="Arial" w:cs="Arial"/>
          <w:sz w:val="22"/>
          <w:szCs w:val="22"/>
        </w:rPr>
      </w:pPr>
    </w:p>
    <w:p w14:paraId="05221477" w14:textId="6702049D"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i/>
          <w:iCs/>
          <w:color w:val="000000"/>
          <w:sz w:val="22"/>
          <w:szCs w:val="22"/>
        </w:rPr>
        <w:t>Compuesta por diecinueve (</w:t>
      </w:r>
      <w:r w:rsidR="00B361B2" w:rsidRPr="008A482B">
        <w:rPr>
          <w:rFonts w:ascii="Arial" w:hAnsi="Arial" w:cs="Arial"/>
          <w:i/>
          <w:iCs/>
          <w:color w:val="000000"/>
          <w:sz w:val="22"/>
          <w:szCs w:val="22"/>
        </w:rPr>
        <w:t>22</w:t>
      </w:r>
      <w:r w:rsidRPr="008A482B">
        <w:rPr>
          <w:rFonts w:ascii="Arial" w:hAnsi="Arial" w:cs="Arial"/>
          <w:i/>
          <w:iCs/>
          <w:color w:val="000000"/>
          <w:sz w:val="22"/>
          <w:szCs w:val="22"/>
        </w:rPr>
        <w:t>) miembros en el Senado y treinta y cinco (3</w:t>
      </w:r>
      <w:r w:rsidR="00B361B2" w:rsidRPr="008A482B">
        <w:rPr>
          <w:rFonts w:ascii="Arial" w:hAnsi="Arial" w:cs="Arial"/>
          <w:i/>
          <w:iCs/>
          <w:color w:val="000000"/>
          <w:sz w:val="22"/>
          <w:szCs w:val="22"/>
        </w:rPr>
        <w:t>8</w:t>
      </w:r>
      <w:r w:rsidRPr="008A482B">
        <w:rPr>
          <w:rFonts w:ascii="Arial" w:hAnsi="Arial" w:cs="Arial"/>
          <w:i/>
          <w:iCs/>
          <w:color w:val="000000"/>
          <w:sz w:val="22"/>
          <w:szCs w:val="22"/>
        </w:rPr>
        <w:t>)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7717986" w14:textId="77777777" w:rsidR="00DA7D10" w:rsidRDefault="00B522FB" w:rsidP="00DA7D10">
      <w:pPr>
        <w:rPr>
          <w:rFonts w:ascii="Arial" w:hAnsi="Arial" w:cs="Arial"/>
          <w:b/>
          <w:bCs/>
          <w:color w:val="000000"/>
          <w:sz w:val="22"/>
          <w:szCs w:val="22"/>
        </w:rPr>
      </w:pPr>
      <w:r w:rsidRPr="008A482B">
        <w:rPr>
          <w:rFonts w:ascii="Arial" w:hAnsi="Arial" w:cs="Arial"/>
          <w:sz w:val="22"/>
          <w:szCs w:val="22"/>
        </w:rPr>
        <w:br/>
      </w:r>
    </w:p>
    <w:p w14:paraId="196553E5" w14:textId="1E1AC6DE" w:rsidR="00B522FB" w:rsidRPr="00DA7D10" w:rsidRDefault="00B522FB" w:rsidP="00DA7D10">
      <w:pPr>
        <w:pStyle w:val="Prrafodelista"/>
        <w:numPr>
          <w:ilvl w:val="0"/>
          <w:numId w:val="16"/>
        </w:numPr>
        <w:rPr>
          <w:rFonts w:ascii="Arial" w:hAnsi="Arial" w:cs="Arial"/>
          <w:sz w:val="22"/>
          <w:szCs w:val="22"/>
        </w:rPr>
      </w:pPr>
      <w:r w:rsidRPr="00DA7D10">
        <w:rPr>
          <w:rFonts w:ascii="Arial" w:hAnsi="Arial" w:cs="Arial"/>
          <w:b/>
          <w:bCs/>
          <w:color w:val="000000"/>
          <w:sz w:val="22"/>
          <w:szCs w:val="22"/>
        </w:rPr>
        <w:t>SITUACIONES QUE PODRÍAN GENERAR CONFLICTO DE INTERÉS</w:t>
      </w:r>
    </w:p>
    <w:p w14:paraId="5F503974" w14:textId="77777777" w:rsidR="00B522FB" w:rsidRPr="008A482B" w:rsidRDefault="00B522FB" w:rsidP="00F07255">
      <w:pPr>
        <w:rPr>
          <w:rFonts w:ascii="Arial" w:hAnsi="Arial" w:cs="Arial"/>
          <w:sz w:val="22"/>
          <w:szCs w:val="22"/>
        </w:rPr>
      </w:pPr>
    </w:p>
    <w:p w14:paraId="23B8F900" w14:textId="777777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A353105" w14:textId="77777777" w:rsidR="00B522FB" w:rsidRPr="008A482B" w:rsidRDefault="00B522FB" w:rsidP="00F07255">
      <w:pPr>
        <w:rPr>
          <w:rFonts w:ascii="Arial" w:hAnsi="Arial" w:cs="Arial"/>
          <w:sz w:val="22"/>
          <w:szCs w:val="22"/>
        </w:rPr>
      </w:pPr>
    </w:p>
    <w:p w14:paraId="35A65340" w14:textId="5484ACBA"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color w:val="000000"/>
          <w:sz w:val="22"/>
          <w:szCs w:val="22"/>
        </w:rPr>
        <w:t>Se estima que el presente proyecto de ley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r w:rsidR="003839D8">
        <w:rPr>
          <w:rFonts w:ascii="Arial" w:hAnsi="Arial" w:cs="Arial"/>
          <w:color w:val="000000"/>
          <w:sz w:val="22"/>
          <w:szCs w:val="22"/>
        </w:rPr>
        <w:t xml:space="preserve">. </w:t>
      </w:r>
    </w:p>
    <w:p w14:paraId="48D48E33" w14:textId="77777777" w:rsidR="00B522FB" w:rsidRPr="008A482B" w:rsidRDefault="00B522FB" w:rsidP="00F07255">
      <w:pPr>
        <w:rPr>
          <w:rFonts w:ascii="Arial" w:hAnsi="Arial" w:cs="Arial"/>
          <w:sz w:val="22"/>
          <w:szCs w:val="22"/>
        </w:rPr>
      </w:pPr>
    </w:p>
    <w:p w14:paraId="1D600D1A" w14:textId="27A5D277" w:rsidR="00B522FB" w:rsidRPr="008A482B" w:rsidRDefault="00B522FB" w:rsidP="00F07255">
      <w:pPr>
        <w:pStyle w:val="NormalWeb"/>
        <w:spacing w:before="0" w:beforeAutospacing="0" w:after="0" w:afterAutospacing="0"/>
        <w:jc w:val="both"/>
        <w:rPr>
          <w:rFonts w:ascii="Arial" w:hAnsi="Arial" w:cs="Arial"/>
          <w:sz w:val="22"/>
          <w:szCs w:val="22"/>
        </w:rPr>
      </w:pPr>
      <w:r w:rsidRPr="008A482B">
        <w:rPr>
          <w:rFonts w:ascii="Arial" w:hAnsi="Arial" w:cs="Arial"/>
          <w:color w:val="000000"/>
          <w:sz w:val="22"/>
          <w:szCs w:val="22"/>
        </w:rPr>
        <w:t>La descripción de los posibles conflictos de interés que se puedan presentar sobre el trámite del presente proyecto de ley no exime del deber del Congresista de identificar causales adicionales que pueda encontrar durante el trámite del proyecto.</w:t>
      </w:r>
    </w:p>
    <w:p w14:paraId="08E3585E" w14:textId="07A70795" w:rsidR="00B522FB" w:rsidRPr="008A482B" w:rsidRDefault="00B522FB" w:rsidP="00F07255">
      <w:pPr>
        <w:rPr>
          <w:rFonts w:ascii="Arial" w:hAnsi="Arial" w:cs="Arial"/>
          <w:sz w:val="22"/>
          <w:szCs w:val="22"/>
        </w:rPr>
      </w:pPr>
      <w:r w:rsidRPr="008A482B">
        <w:rPr>
          <w:rFonts w:ascii="Arial" w:hAnsi="Arial" w:cs="Arial"/>
          <w:sz w:val="22"/>
          <w:szCs w:val="22"/>
        </w:rPr>
        <w:br/>
      </w:r>
    </w:p>
    <w:p w14:paraId="14C1D14A" w14:textId="29199721" w:rsidR="00B522FB" w:rsidRPr="008A482B" w:rsidRDefault="00F07255">
      <w:pPr>
        <w:pStyle w:val="NormalWeb"/>
        <w:numPr>
          <w:ilvl w:val="0"/>
          <w:numId w:val="7"/>
        </w:numPr>
        <w:spacing w:before="0" w:beforeAutospacing="0" w:after="0" w:afterAutospacing="0"/>
        <w:jc w:val="center"/>
        <w:textAlignment w:val="baseline"/>
        <w:rPr>
          <w:rFonts w:ascii="Arial" w:hAnsi="Arial" w:cs="Arial"/>
          <w:b/>
          <w:bCs/>
          <w:color w:val="000000"/>
          <w:sz w:val="22"/>
          <w:szCs w:val="22"/>
        </w:rPr>
      </w:pPr>
      <w:r w:rsidRPr="008A482B">
        <w:rPr>
          <w:rFonts w:ascii="Arial" w:hAnsi="Arial" w:cs="Arial"/>
          <w:b/>
          <w:bCs/>
          <w:color w:val="000000"/>
          <w:sz w:val="22"/>
          <w:szCs w:val="22"/>
        </w:rPr>
        <w:t>PROPOSICIÓN</w:t>
      </w:r>
    </w:p>
    <w:p w14:paraId="64EB009F" w14:textId="77777777" w:rsidR="00F07255" w:rsidRPr="008A482B" w:rsidRDefault="00F07255" w:rsidP="00F07255">
      <w:pPr>
        <w:jc w:val="both"/>
        <w:rPr>
          <w:rFonts w:ascii="Arial" w:eastAsia="Arial" w:hAnsi="Arial" w:cs="Arial"/>
          <w:b/>
          <w:color w:val="000000"/>
          <w:sz w:val="22"/>
          <w:szCs w:val="22"/>
        </w:rPr>
      </w:pPr>
    </w:p>
    <w:p w14:paraId="7F7C031A" w14:textId="1E6C9F37" w:rsidR="00D05BE6" w:rsidRPr="008A482B" w:rsidRDefault="00D05BE6" w:rsidP="00F07255">
      <w:pPr>
        <w:jc w:val="both"/>
        <w:rPr>
          <w:rFonts w:ascii="Arial" w:eastAsia="Arial" w:hAnsi="Arial" w:cs="Arial"/>
          <w:bCs/>
          <w:i/>
          <w:color w:val="000000"/>
          <w:sz w:val="22"/>
          <w:szCs w:val="22"/>
        </w:rPr>
      </w:pPr>
      <w:r w:rsidRPr="008A482B">
        <w:rPr>
          <w:rFonts w:ascii="Arial" w:eastAsia="Arial" w:hAnsi="Arial" w:cs="Arial"/>
          <w:color w:val="000000"/>
          <w:sz w:val="22"/>
          <w:szCs w:val="22"/>
        </w:rPr>
        <w:t xml:space="preserve">Haciendo uso de las facultades conferidas por la Ley 5 de 1992, de conformidad con las consideraciones expuestas, me permito rendir informe de </w:t>
      </w:r>
      <w:r w:rsidRPr="008A482B">
        <w:rPr>
          <w:rFonts w:ascii="Arial" w:eastAsia="Arial" w:hAnsi="Arial" w:cs="Arial"/>
          <w:b/>
          <w:color w:val="000000"/>
          <w:sz w:val="22"/>
          <w:szCs w:val="22"/>
        </w:rPr>
        <w:t xml:space="preserve">PONENCIA POSITIVA </w:t>
      </w:r>
      <w:r w:rsidRPr="008A482B">
        <w:rPr>
          <w:rFonts w:ascii="Arial" w:eastAsia="Arial" w:hAnsi="Arial" w:cs="Arial"/>
          <w:color w:val="000000"/>
          <w:sz w:val="22"/>
          <w:szCs w:val="22"/>
        </w:rPr>
        <w:t>y r</w:t>
      </w:r>
      <w:r w:rsidR="00B915D1" w:rsidRPr="008A482B">
        <w:rPr>
          <w:rFonts w:ascii="Arial" w:eastAsia="Arial" w:hAnsi="Arial" w:cs="Arial"/>
          <w:color w:val="000000"/>
          <w:sz w:val="22"/>
          <w:szCs w:val="22"/>
        </w:rPr>
        <w:t xml:space="preserve">espetuosamente sugiero a los Honorables </w:t>
      </w:r>
      <w:r w:rsidRPr="008A482B">
        <w:rPr>
          <w:rFonts w:ascii="Arial" w:eastAsia="Arial" w:hAnsi="Arial" w:cs="Arial"/>
          <w:color w:val="000000"/>
          <w:sz w:val="22"/>
          <w:szCs w:val="22"/>
        </w:rPr>
        <w:t xml:space="preserve">Representantes de la Comisión Primera </w:t>
      </w:r>
      <w:r w:rsidRPr="008A482B">
        <w:rPr>
          <w:rFonts w:ascii="Arial" w:eastAsia="Arial" w:hAnsi="Arial" w:cs="Arial"/>
          <w:b/>
          <w:color w:val="000000"/>
          <w:sz w:val="22"/>
          <w:szCs w:val="22"/>
        </w:rPr>
        <w:t>DAR PRIMER DEBATE</w:t>
      </w:r>
      <w:r w:rsidRPr="008A482B">
        <w:rPr>
          <w:rFonts w:ascii="Arial" w:eastAsia="Arial" w:hAnsi="Arial" w:cs="Arial"/>
          <w:color w:val="000000"/>
          <w:sz w:val="22"/>
          <w:szCs w:val="22"/>
        </w:rPr>
        <w:t xml:space="preserve"> al</w:t>
      </w:r>
      <w:r w:rsidRPr="008A482B">
        <w:rPr>
          <w:rFonts w:ascii="Arial" w:eastAsia="Arial" w:hAnsi="Arial" w:cs="Arial"/>
          <w:b/>
          <w:color w:val="000000"/>
          <w:sz w:val="22"/>
          <w:szCs w:val="22"/>
        </w:rPr>
        <w:t xml:space="preserve"> Pro</w:t>
      </w:r>
      <w:r w:rsidR="00A6036A" w:rsidRPr="008A482B">
        <w:rPr>
          <w:rFonts w:ascii="Arial" w:eastAsia="Arial" w:hAnsi="Arial" w:cs="Arial"/>
          <w:b/>
          <w:color w:val="000000"/>
          <w:sz w:val="22"/>
          <w:szCs w:val="22"/>
        </w:rPr>
        <w:t xml:space="preserve">yecto de </w:t>
      </w:r>
      <w:r w:rsidR="00B915D1" w:rsidRPr="008A482B">
        <w:rPr>
          <w:rFonts w:ascii="Arial" w:eastAsia="Arial" w:hAnsi="Arial" w:cs="Arial"/>
          <w:b/>
          <w:color w:val="000000"/>
          <w:sz w:val="22"/>
          <w:szCs w:val="22"/>
        </w:rPr>
        <w:t>Ley</w:t>
      </w:r>
      <w:r w:rsidR="00A6036A" w:rsidRPr="008A482B">
        <w:rPr>
          <w:rFonts w:ascii="Arial" w:eastAsia="Arial" w:hAnsi="Arial" w:cs="Arial"/>
          <w:b/>
          <w:color w:val="000000"/>
          <w:sz w:val="22"/>
          <w:szCs w:val="22"/>
        </w:rPr>
        <w:t xml:space="preserve"> </w:t>
      </w:r>
      <w:proofErr w:type="spellStart"/>
      <w:r w:rsidR="00A6036A" w:rsidRPr="008A482B">
        <w:rPr>
          <w:rFonts w:ascii="Arial" w:eastAsia="Arial" w:hAnsi="Arial" w:cs="Arial"/>
          <w:b/>
          <w:color w:val="000000"/>
          <w:sz w:val="22"/>
          <w:szCs w:val="22"/>
        </w:rPr>
        <w:t>Nº</w:t>
      </w:r>
      <w:proofErr w:type="spellEnd"/>
      <w:r w:rsidR="006A00F7" w:rsidRPr="008A482B">
        <w:rPr>
          <w:rFonts w:ascii="Arial" w:eastAsia="Arial" w:hAnsi="Arial" w:cs="Arial"/>
          <w:b/>
          <w:color w:val="000000"/>
          <w:sz w:val="22"/>
          <w:szCs w:val="22"/>
        </w:rPr>
        <w:t xml:space="preserve"> </w:t>
      </w:r>
      <w:r w:rsidR="003839D8">
        <w:rPr>
          <w:rFonts w:ascii="Arial" w:eastAsia="Arial" w:hAnsi="Arial" w:cs="Arial"/>
          <w:b/>
          <w:color w:val="000000"/>
          <w:sz w:val="22"/>
          <w:szCs w:val="22"/>
        </w:rPr>
        <w:t>114</w:t>
      </w:r>
      <w:r w:rsidR="00F07255" w:rsidRPr="008A482B">
        <w:rPr>
          <w:rFonts w:ascii="Arial" w:eastAsia="Arial" w:hAnsi="Arial" w:cs="Arial"/>
          <w:b/>
          <w:color w:val="000000"/>
          <w:sz w:val="22"/>
          <w:szCs w:val="22"/>
        </w:rPr>
        <w:t xml:space="preserve"> de</w:t>
      </w:r>
      <w:r w:rsidR="006A00F7" w:rsidRPr="008A482B">
        <w:rPr>
          <w:rFonts w:ascii="Arial" w:eastAsia="Arial" w:hAnsi="Arial" w:cs="Arial"/>
          <w:b/>
          <w:color w:val="000000"/>
          <w:sz w:val="22"/>
          <w:szCs w:val="22"/>
        </w:rPr>
        <w:t xml:space="preserve"> 2022 Cámara. </w:t>
      </w:r>
      <w:r w:rsidR="003839D8" w:rsidRPr="003839D8">
        <w:rPr>
          <w:rFonts w:ascii="Arial" w:eastAsia="Arial" w:hAnsi="Arial" w:cs="Arial"/>
          <w:bCs/>
          <w:i/>
          <w:color w:val="000000"/>
          <w:sz w:val="22"/>
          <w:szCs w:val="22"/>
        </w:rPr>
        <w:t>“Por la cual se declara la imprescriptibilidad de la acción penal para los homicidios contra los integrantes de la Fuerza Pública”</w:t>
      </w:r>
      <w:r w:rsidR="006A00F7" w:rsidRPr="008A482B">
        <w:rPr>
          <w:rFonts w:ascii="Arial" w:eastAsia="Arial" w:hAnsi="Arial" w:cs="Arial"/>
          <w:bCs/>
          <w:color w:val="000000"/>
          <w:sz w:val="22"/>
          <w:szCs w:val="22"/>
        </w:rPr>
        <w:t xml:space="preserve"> </w:t>
      </w:r>
      <w:r w:rsidRPr="008A482B">
        <w:rPr>
          <w:rFonts w:ascii="Arial" w:eastAsia="Arial" w:hAnsi="Arial" w:cs="Arial"/>
          <w:bCs/>
          <w:color w:val="000000"/>
          <w:sz w:val="22"/>
          <w:szCs w:val="22"/>
        </w:rPr>
        <w:t>en los términos presentados.</w:t>
      </w:r>
      <w:r w:rsidRPr="008A482B">
        <w:rPr>
          <w:rFonts w:ascii="Arial" w:eastAsia="Arial" w:hAnsi="Arial" w:cs="Arial"/>
          <w:color w:val="000000"/>
          <w:sz w:val="22"/>
          <w:szCs w:val="22"/>
        </w:rPr>
        <w:t xml:space="preserve"> </w:t>
      </w:r>
    </w:p>
    <w:p w14:paraId="284EFBC4" w14:textId="77777777" w:rsidR="00875C30" w:rsidRPr="008A482B" w:rsidRDefault="00875C30" w:rsidP="00F07255">
      <w:pPr>
        <w:jc w:val="both"/>
        <w:rPr>
          <w:rFonts w:ascii="Arial" w:eastAsia="Arial" w:hAnsi="Arial" w:cs="Arial"/>
          <w:color w:val="000000"/>
          <w:sz w:val="22"/>
          <w:szCs w:val="22"/>
        </w:rPr>
      </w:pPr>
    </w:p>
    <w:p w14:paraId="240569F1" w14:textId="77777777" w:rsidR="002D4DC8" w:rsidRDefault="002D4DC8" w:rsidP="00F07255">
      <w:pPr>
        <w:jc w:val="both"/>
        <w:rPr>
          <w:rFonts w:ascii="Arial" w:eastAsia="Arial" w:hAnsi="Arial" w:cs="Arial"/>
          <w:color w:val="000000"/>
          <w:sz w:val="22"/>
          <w:szCs w:val="22"/>
        </w:rPr>
      </w:pPr>
    </w:p>
    <w:p w14:paraId="0B3406F0" w14:textId="72077AF8" w:rsidR="00D05BE6" w:rsidRPr="008A482B" w:rsidRDefault="00B915D1" w:rsidP="00F07255">
      <w:pPr>
        <w:jc w:val="both"/>
        <w:rPr>
          <w:rFonts w:ascii="Arial" w:eastAsia="Arial" w:hAnsi="Arial" w:cs="Arial"/>
          <w:b/>
          <w:color w:val="000000"/>
          <w:sz w:val="22"/>
          <w:szCs w:val="22"/>
        </w:rPr>
      </w:pPr>
      <w:r w:rsidRPr="008A482B">
        <w:rPr>
          <w:rFonts w:ascii="Arial" w:eastAsia="Arial" w:hAnsi="Arial" w:cs="Arial"/>
          <w:color w:val="000000"/>
          <w:sz w:val="22"/>
          <w:szCs w:val="22"/>
        </w:rPr>
        <w:t>Cordialmente,</w:t>
      </w:r>
    </w:p>
    <w:p w14:paraId="65FACFD2" w14:textId="77777777" w:rsidR="00D05BE6" w:rsidRPr="008A482B" w:rsidRDefault="00D05BE6" w:rsidP="00F07255">
      <w:pPr>
        <w:jc w:val="both"/>
        <w:rPr>
          <w:rFonts w:ascii="Arial" w:eastAsia="Arial" w:hAnsi="Arial" w:cs="Arial"/>
          <w:b/>
          <w:color w:val="000000"/>
          <w:sz w:val="22"/>
          <w:szCs w:val="22"/>
        </w:rPr>
      </w:pPr>
    </w:p>
    <w:p w14:paraId="51D4B87E" w14:textId="791D64F8" w:rsidR="00B915D1" w:rsidRPr="008A482B" w:rsidRDefault="00B915D1" w:rsidP="00F07255">
      <w:pPr>
        <w:jc w:val="both"/>
        <w:rPr>
          <w:rFonts w:ascii="Arial" w:eastAsia="Arial" w:hAnsi="Arial" w:cs="Arial"/>
          <w:b/>
          <w:color w:val="000000"/>
          <w:sz w:val="22"/>
          <w:szCs w:val="22"/>
        </w:rPr>
      </w:pPr>
    </w:p>
    <w:p w14:paraId="77B764F8" w14:textId="77777777" w:rsidR="00875C30" w:rsidRPr="008A482B" w:rsidRDefault="00875C30" w:rsidP="00F07255">
      <w:pPr>
        <w:jc w:val="both"/>
        <w:rPr>
          <w:rFonts w:ascii="Arial" w:eastAsia="Arial" w:hAnsi="Arial" w:cs="Arial"/>
          <w:b/>
          <w:color w:val="000000"/>
          <w:sz w:val="22"/>
          <w:szCs w:val="22"/>
        </w:rPr>
      </w:pPr>
    </w:p>
    <w:p w14:paraId="68B6A9A4" w14:textId="77777777" w:rsidR="00B915D1" w:rsidRPr="008A482B" w:rsidRDefault="00B915D1" w:rsidP="00F07255">
      <w:pPr>
        <w:jc w:val="both"/>
        <w:rPr>
          <w:rFonts w:ascii="Arial" w:eastAsia="Arial" w:hAnsi="Arial" w:cs="Arial"/>
          <w:b/>
          <w:color w:val="000000"/>
          <w:sz w:val="22"/>
          <w:szCs w:val="22"/>
        </w:rPr>
      </w:pPr>
    </w:p>
    <w:p w14:paraId="759014D8" w14:textId="56BA977A" w:rsidR="00D05BE6" w:rsidRPr="008A482B" w:rsidRDefault="008939FA" w:rsidP="00F07255">
      <w:pPr>
        <w:jc w:val="both"/>
        <w:rPr>
          <w:rFonts w:ascii="Arial" w:eastAsia="Arial" w:hAnsi="Arial" w:cs="Arial"/>
          <w:b/>
          <w:color w:val="000000"/>
          <w:sz w:val="22"/>
          <w:szCs w:val="22"/>
        </w:rPr>
      </w:pPr>
      <w:r w:rsidRPr="008A482B">
        <w:rPr>
          <w:rFonts w:ascii="Arial" w:eastAsia="Arial" w:hAnsi="Arial" w:cs="Arial"/>
          <w:b/>
          <w:color w:val="000000"/>
          <w:sz w:val="22"/>
          <w:szCs w:val="22"/>
        </w:rPr>
        <w:t>HERNÁN DARÍO CADAVID MÁRQUEZ</w:t>
      </w:r>
    </w:p>
    <w:p w14:paraId="20D932D5" w14:textId="49D6D5CB" w:rsidR="00B915D1" w:rsidRPr="008A482B" w:rsidRDefault="00B915D1" w:rsidP="00F07255">
      <w:pPr>
        <w:jc w:val="both"/>
        <w:rPr>
          <w:rFonts w:ascii="Arial" w:eastAsia="Arial" w:hAnsi="Arial" w:cs="Arial"/>
          <w:b/>
          <w:color w:val="000000"/>
          <w:sz w:val="22"/>
          <w:szCs w:val="22"/>
        </w:rPr>
      </w:pPr>
      <w:r w:rsidRPr="008A482B">
        <w:rPr>
          <w:rFonts w:ascii="Arial" w:eastAsia="Arial" w:hAnsi="Arial" w:cs="Arial"/>
          <w:b/>
          <w:color w:val="000000"/>
          <w:sz w:val="22"/>
          <w:szCs w:val="22"/>
        </w:rPr>
        <w:t>Representante a la Cámara</w:t>
      </w:r>
    </w:p>
    <w:p w14:paraId="44BB4C33" w14:textId="700B0DFB" w:rsidR="003839D8" w:rsidRPr="008A482B" w:rsidRDefault="003839D8" w:rsidP="003839D8">
      <w:pPr>
        <w:rPr>
          <w:rFonts w:ascii="Arial" w:eastAsia="Arial" w:hAnsi="Arial" w:cs="Arial"/>
          <w:b/>
          <w:color w:val="000000"/>
          <w:sz w:val="22"/>
          <w:szCs w:val="22"/>
        </w:rPr>
      </w:pPr>
      <w:r>
        <w:rPr>
          <w:rFonts w:ascii="Arial" w:eastAsia="Arial" w:hAnsi="Arial" w:cs="Arial"/>
          <w:b/>
          <w:color w:val="000000"/>
          <w:sz w:val="22"/>
          <w:szCs w:val="22"/>
        </w:rPr>
        <w:t>Ponente</w:t>
      </w:r>
      <w:r w:rsidR="002D4DC8">
        <w:rPr>
          <w:rFonts w:ascii="Arial" w:eastAsia="Arial" w:hAnsi="Arial" w:cs="Arial"/>
          <w:b/>
          <w:color w:val="000000"/>
          <w:sz w:val="22"/>
          <w:szCs w:val="22"/>
        </w:rPr>
        <w:t xml:space="preserve"> Coordinador</w:t>
      </w:r>
    </w:p>
    <w:p w14:paraId="46AF6F59" w14:textId="783A5843" w:rsidR="00BD062A" w:rsidRPr="008A482B" w:rsidRDefault="00BD062A" w:rsidP="00F07255">
      <w:pPr>
        <w:jc w:val="center"/>
        <w:rPr>
          <w:rFonts w:ascii="Arial" w:eastAsia="Arial" w:hAnsi="Arial" w:cs="Arial"/>
          <w:b/>
          <w:color w:val="000000"/>
          <w:sz w:val="22"/>
          <w:szCs w:val="22"/>
        </w:rPr>
      </w:pPr>
    </w:p>
    <w:p w14:paraId="715902EA" w14:textId="7ED1BF85" w:rsidR="00F07255" w:rsidRPr="008A482B" w:rsidRDefault="00F07255" w:rsidP="00F07255">
      <w:pPr>
        <w:jc w:val="center"/>
        <w:rPr>
          <w:rFonts w:ascii="Arial" w:eastAsia="Arial" w:hAnsi="Arial" w:cs="Arial"/>
          <w:b/>
          <w:color w:val="000000"/>
          <w:sz w:val="22"/>
          <w:szCs w:val="22"/>
        </w:rPr>
      </w:pPr>
    </w:p>
    <w:p w14:paraId="4FAD3C8A" w14:textId="43F85146" w:rsidR="00F07255" w:rsidRPr="008A482B" w:rsidRDefault="00F07255" w:rsidP="00F07255">
      <w:pPr>
        <w:jc w:val="center"/>
        <w:rPr>
          <w:rFonts w:ascii="Arial" w:eastAsia="Arial" w:hAnsi="Arial" w:cs="Arial"/>
          <w:b/>
          <w:color w:val="000000"/>
          <w:sz w:val="22"/>
          <w:szCs w:val="22"/>
        </w:rPr>
      </w:pPr>
    </w:p>
    <w:p w14:paraId="2852CDC9" w14:textId="0BAD6C51" w:rsidR="00F07255" w:rsidRPr="008A482B" w:rsidRDefault="00F07255" w:rsidP="00F07255">
      <w:pPr>
        <w:jc w:val="center"/>
        <w:rPr>
          <w:rFonts w:ascii="Arial" w:eastAsia="Arial" w:hAnsi="Arial" w:cs="Arial"/>
          <w:b/>
          <w:color w:val="000000"/>
          <w:sz w:val="22"/>
          <w:szCs w:val="22"/>
        </w:rPr>
      </w:pPr>
    </w:p>
    <w:p w14:paraId="1721202B" w14:textId="6CDBC2B2" w:rsidR="00F07255" w:rsidRPr="008A482B" w:rsidRDefault="00F07255" w:rsidP="00F07255">
      <w:pPr>
        <w:jc w:val="center"/>
        <w:rPr>
          <w:rFonts w:ascii="Arial" w:eastAsia="Arial" w:hAnsi="Arial" w:cs="Arial"/>
          <w:b/>
          <w:color w:val="000000"/>
          <w:sz w:val="22"/>
          <w:szCs w:val="22"/>
        </w:rPr>
      </w:pPr>
    </w:p>
    <w:p w14:paraId="45C925E4" w14:textId="50BF8627" w:rsidR="00F07255" w:rsidRPr="008A482B" w:rsidRDefault="00F07255" w:rsidP="00F07255">
      <w:pPr>
        <w:jc w:val="center"/>
        <w:rPr>
          <w:rFonts w:ascii="Arial" w:eastAsia="Arial" w:hAnsi="Arial" w:cs="Arial"/>
          <w:b/>
          <w:color w:val="000000"/>
          <w:sz w:val="22"/>
          <w:szCs w:val="22"/>
        </w:rPr>
      </w:pPr>
    </w:p>
    <w:p w14:paraId="5E8A5657" w14:textId="7C1F2F14" w:rsidR="00F07255" w:rsidRPr="008A482B" w:rsidRDefault="00F07255" w:rsidP="00F07255">
      <w:pPr>
        <w:jc w:val="center"/>
        <w:rPr>
          <w:rFonts w:ascii="Arial" w:eastAsia="Arial" w:hAnsi="Arial" w:cs="Arial"/>
          <w:b/>
          <w:color w:val="000000"/>
          <w:sz w:val="22"/>
          <w:szCs w:val="22"/>
        </w:rPr>
      </w:pPr>
    </w:p>
    <w:p w14:paraId="535E0C8C" w14:textId="5A14417B" w:rsidR="00F07255" w:rsidRPr="008A482B" w:rsidRDefault="00F07255" w:rsidP="00F07255">
      <w:pPr>
        <w:jc w:val="center"/>
        <w:rPr>
          <w:rFonts w:ascii="Arial" w:eastAsia="Arial" w:hAnsi="Arial" w:cs="Arial"/>
          <w:b/>
          <w:color w:val="000000"/>
          <w:sz w:val="22"/>
          <w:szCs w:val="22"/>
        </w:rPr>
      </w:pPr>
    </w:p>
    <w:p w14:paraId="5620F7BB" w14:textId="49CC97ED" w:rsidR="00F07255" w:rsidRPr="008A482B" w:rsidRDefault="00F07255" w:rsidP="00F07255">
      <w:pPr>
        <w:jc w:val="center"/>
        <w:rPr>
          <w:rFonts w:ascii="Arial" w:eastAsia="Arial" w:hAnsi="Arial" w:cs="Arial"/>
          <w:b/>
          <w:color w:val="000000"/>
          <w:sz w:val="22"/>
          <w:szCs w:val="22"/>
        </w:rPr>
      </w:pPr>
    </w:p>
    <w:p w14:paraId="48ED3484" w14:textId="4F04887D" w:rsidR="00F07255" w:rsidRPr="008A482B" w:rsidRDefault="00F07255" w:rsidP="00F07255">
      <w:pPr>
        <w:jc w:val="center"/>
        <w:rPr>
          <w:rFonts w:ascii="Arial" w:eastAsia="Arial" w:hAnsi="Arial" w:cs="Arial"/>
          <w:b/>
          <w:color w:val="000000"/>
          <w:sz w:val="22"/>
          <w:szCs w:val="22"/>
        </w:rPr>
      </w:pPr>
    </w:p>
    <w:p w14:paraId="7BF509C2" w14:textId="5AC214EA" w:rsidR="00F07255" w:rsidRDefault="00F07255" w:rsidP="00F07255">
      <w:pPr>
        <w:jc w:val="center"/>
        <w:rPr>
          <w:rFonts w:ascii="Arial" w:eastAsia="Arial" w:hAnsi="Arial" w:cs="Arial"/>
          <w:b/>
          <w:color w:val="000000"/>
          <w:sz w:val="22"/>
          <w:szCs w:val="22"/>
        </w:rPr>
      </w:pPr>
    </w:p>
    <w:p w14:paraId="62A9318B" w14:textId="0FDE87DA" w:rsidR="003839D8" w:rsidRDefault="003839D8" w:rsidP="00F07255">
      <w:pPr>
        <w:jc w:val="center"/>
        <w:rPr>
          <w:rFonts w:ascii="Arial" w:eastAsia="Arial" w:hAnsi="Arial" w:cs="Arial"/>
          <w:b/>
          <w:color w:val="000000"/>
          <w:sz w:val="22"/>
          <w:szCs w:val="22"/>
        </w:rPr>
      </w:pPr>
    </w:p>
    <w:p w14:paraId="670E6E51" w14:textId="2FAAF524" w:rsidR="003839D8" w:rsidRDefault="003839D8" w:rsidP="00F07255">
      <w:pPr>
        <w:jc w:val="center"/>
        <w:rPr>
          <w:rFonts w:ascii="Arial" w:eastAsia="Arial" w:hAnsi="Arial" w:cs="Arial"/>
          <w:b/>
          <w:color w:val="000000"/>
          <w:sz w:val="22"/>
          <w:szCs w:val="22"/>
        </w:rPr>
      </w:pPr>
    </w:p>
    <w:p w14:paraId="4C8B2624" w14:textId="11431889" w:rsidR="003839D8" w:rsidRDefault="003839D8" w:rsidP="00F07255">
      <w:pPr>
        <w:jc w:val="center"/>
        <w:rPr>
          <w:rFonts w:ascii="Arial" w:eastAsia="Arial" w:hAnsi="Arial" w:cs="Arial"/>
          <w:b/>
          <w:color w:val="000000"/>
          <w:sz w:val="22"/>
          <w:szCs w:val="22"/>
        </w:rPr>
      </w:pPr>
    </w:p>
    <w:p w14:paraId="5610F0FF" w14:textId="62FA4D70" w:rsidR="003839D8" w:rsidRDefault="003839D8" w:rsidP="00F07255">
      <w:pPr>
        <w:jc w:val="center"/>
        <w:rPr>
          <w:rFonts w:ascii="Arial" w:eastAsia="Arial" w:hAnsi="Arial" w:cs="Arial"/>
          <w:b/>
          <w:color w:val="000000"/>
          <w:sz w:val="22"/>
          <w:szCs w:val="22"/>
        </w:rPr>
      </w:pPr>
    </w:p>
    <w:p w14:paraId="3779A39F" w14:textId="5086CDBF" w:rsidR="003839D8" w:rsidRDefault="003839D8" w:rsidP="00F07255">
      <w:pPr>
        <w:jc w:val="center"/>
        <w:rPr>
          <w:rFonts w:ascii="Arial" w:eastAsia="Arial" w:hAnsi="Arial" w:cs="Arial"/>
          <w:b/>
          <w:color w:val="000000"/>
          <w:sz w:val="22"/>
          <w:szCs w:val="22"/>
        </w:rPr>
      </w:pPr>
    </w:p>
    <w:p w14:paraId="5E90010F" w14:textId="55859322" w:rsidR="003839D8" w:rsidRDefault="003839D8" w:rsidP="00F07255">
      <w:pPr>
        <w:jc w:val="center"/>
        <w:rPr>
          <w:rFonts w:ascii="Arial" w:eastAsia="Arial" w:hAnsi="Arial" w:cs="Arial"/>
          <w:b/>
          <w:color w:val="000000"/>
          <w:sz w:val="22"/>
          <w:szCs w:val="22"/>
        </w:rPr>
      </w:pPr>
    </w:p>
    <w:p w14:paraId="006A74C5" w14:textId="0F0E4EE2" w:rsidR="003839D8" w:rsidRDefault="003839D8" w:rsidP="00F07255">
      <w:pPr>
        <w:jc w:val="center"/>
        <w:rPr>
          <w:rFonts w:ascii="Arial" w:eastAsia="Arial" w:hAnsi="Arial" w:cs="Arial"/>
          <w:b/>
          <w:color w:val="000000"/>
          <w:sz w:val="22"/>
          <w:szCs w:val="22"/>
        </w:rPr>
      </w:pPr>
    </w:p>
    <w:p w14:paraId="32F4F91D" w14:textId="7B0597AC" w:rsidR="003839D8" w:rsidRDefault="003839D8" w:rsidP="00F07255">
      <w:pPr>
        <w:jc w:val="center"/>
        <w:rPr>
          <w:rFonts w:ascii="Arial" w:eastAsia="Arial" w:hAnsi="Arial" w:cs="Arial"/>
          <w:b/>
          <w:color w:val="000000"/>
          <w:sz w:val="22"/>
          <w:szCs w:val="22"/>
        </w:rPr>
      </w:pPr>
    </w:p>
    <w:p w14:paraId="2098AAA5" w14:textId="77777777" w:rsidR="003839D8" w:rsidRPr="008A482B" w:rsidRDefault="003839D8" w:rsidP="00F07255">
      <w:pPr>
        <w:jc w:val="center"/>
        <w:rPr>
          <w:rFonts w:ascii="Arial" w:eastAsia="Arial" w:hAnsi="Arial" w:cs="Arial"/>
          <w:b/>
          <w:color w:val="000000"/>
          <w:sz w:val="22"/>
          <w:szCs w:val="22"/>
        </w:rPr>
      </w:pPr>
    </w:p>
    <w:p w14:paraId="2AD6B7F1" w14:textId="0A5B5F97" w:rsidR="00F07255" w:rsidRPr="008A482B" w:rsidRDefault="00F07255" w:rsidP="00F07255">
      <w:pPr>
        <w:jc w:val="center"/>
        <w:rPr>
          <w:rFonts w:ascii="Arial" w:eastAsia="Arial" w:hAnsi="Arial" w:cs="Arial"/>
          <w:b/>
          <w:color w:val="000000"/>
          <w:sz w:val="22"/>
          <w:szCs w:val="22"/>
        </w:rPr>
      </w:pPr>
    </w:p>
    <w:p w14:paraId="6E6ECF76" w14:textId="2C19D722" w:rsidR="00F07255" w:rsidRPr="008A482B" w:rsidRDefault="00F07255" w:rsidP="00F07255">
      <w:pPr>
        <w:jc w:val="center"/>
        <w:rPr>
          <w:rFonts w:ascii="Arial" w:eastAsia="Arial" w:hAnsi="Arial" w:cs="Arial"/>
          <w:b/>
          <w:color w:val="000000"/>
          <w:sz w:val="22"/>
          <w:szCs w:val="22"/>
        </w:rPr>
      </w:pPr>
    </w:p>
    <w:p w14:paraId="765EF12A" w14:textId="3356D2D7" w:rsidR="00F07255" w:rsidRPr="008A482B" w:rsidRDefault="00F07255" w:rsidP="00F07255">
      <w:pPr>
        <w:jc w:val="center"/>
        <w:rPr>
          <w:rFonts w:ascii="Arial" w:eastAsia="Arial" w:hAnsi="Arial" w:cs="Arial"/>
          <w:b/>
          <w:color w:val="000000"/>
          <w:sz w:val="22"/>
          <w:szCs w:val="22"/>
        </w:rPr>
      </w:pPr>
    </w:p>
    <w:p w14:paraId="24E3623E" w14:textId="423C99B9" w:rsidR="00F07255" w:rsidRPr="008A482B" w:rsidRDefault="00F07255" w:rsidP="00F07255">
      <w:pPr>
        <w:jc w:val="center"/>
        <w:rPr>
          <w:rFonts w:ascii="Arial" w:eastAsia="Arial" w:hAnsi="Arial" w:cs="Arial"/>
          <w:b/>
          <w:color w:val="000000"/>
          <w:sz w:val="22"/>
          <w:szCs w:val="22"/>
        </w:rPr>
      </w:pPr>
    </w:p>
    <w:p w14:paraId="29E226B3" w14:textId="63F3685B" w:rsidR="00F07255" w:rsidRPr="008A482B" w:rsidRDefault="00F07255" w:rsidP="00F07255">
      <w:pPr>
        <w:jc w:val="center"/>
        <w:rPr>
          <w:rFonts w:ascii="Arial" w:eastAsia="Arial" w:hAnsi="Arial" w:cs="Arial"/>
          <w:b/>
          <w:color w:val="000000"/>
          <w:sz w:val="22"/>
          <w:szCs w:val="22"/>
        </w:rPr>
      </w:pPr>
    </w:p>
    <w:p w14:paraId="0BF76844" w14:textId="2D67C030" w:rsidR="00F07255" w:rsidRPr="008A482B" w:rsidRDefault="00F07255" w:rsidP="00F07255">
      <w:pPr>
        <w:jc w:val="center"/>
        <w:rPr>
          <w:rFonts w:ascii="Arial" w:eastAsia="Arial" w:hAnsi="Arial" w:cs="Arial"/>
          <w:b/>
          <w:color w:val="000000"/>
          <w:sz w:val="22"/>
          <w:szCs w:val="22"/>
        </w:rPr>
      </w:pPr>
    </w:p>
    <w:p w14:paraId="0044AFDB" w14:textId="661B23CC" w:rsidR="00F07255" w:rsidRPr="008A482B" w:rsidRDefault="00F07255" w:rsidP="00F07255">
      <w:pPr>
        <w:jc w:val="center"/>
        <w:rPr>
          <w:rFonts w:ascii="Arial" w:eastAsia="Arial" w:hAnsi="Arial" w:cs="Arial"/>
          <w:b/>
          <w:color w:val="000000"/>
          <w:sz w:val="22"/>
          <w:szCs w:val="22"/>
        </w:rPr>
      </w:pPr>
    </w:p>
    <w:p w14:paraId="343DD2EC" w14:textId="2ACB1963" w:rsidR="006A00F7" w:rsidRPr="008A482B" w:rsidRDefault="00D05BE6" w:rsidP="00F07255">
      <w:pPr>
        <w:jc w:val="center"/>
        <w:rPr>
          <w:rFonts w:ascii="Arial" w:eastAsia="Arial" w:hAnsi="Arial" w:cs="Arial"/>
          <w:b/>
          <w:color w:val="000000"/>
          <w:sz w:val="22"/>
          <w:szCs w:val="22"/>
        </w:rPr>
      </w:pPr>
      <w:r w:rsidRPr="008A482B">
        <w:rPr>
          <w:rFonts w:ascii="Arial" w:eastAsia="Arial" w:hAnsi="Arial" w:cs="Arial"/>
          <w:b/>
          <w:color w:val="000000"/>
          <w:sz w:val="22"/>
          <w:szCs w:val="22"/>
        </w:rPr>
        <w:lastRenderedPageBreak/>
        <w:t xml:space="preserve">TEXTO PROPUESTO PARA PRIMER DEBATE AL PROYECTO DE </w:t>
      </w:r>
      <w:r w:rsidR="00B915D1" w:rsidRPr="008A482B">
        <w:rPr>
          <w:rFonts w:ascii="Arial" w:eastAsia="Arial" w:hAnsi="Arial" w:cs="Arial"/>
          <w:b/>
          <w:color w:val="000000"/>
          <w:sz w:val="22"/>
          <w:szCs w:val="22"/>
        </w:rPr>
        <w:t xml:space="preserve">LEY No. </w:t>
      </w:r>
      <w:r w:rsidR="003839D8">
        <w:rPr>
          <w:rFonts w:ascii="Arial" w:eastAsia="Arial" w:hAnsi="Arial" w:cs="Arial"/>
          <w:b/>
          <w:color w:val="000000"/>
          <w:sz w:val="22"/>
          <w:szCs w:val="22"/>
        </w:rPr>
        <w:t>114</w:t>
      </w:r>
      <w:r w:rsidRPr="008A482B">
        <w:rPr>
          <w:rFonts w:ascii="Arial" w:eastAsia="Arial" w:hAnsi="Arial" w:cs="Arial"/>
          <w:b/>
          <w:color w:val="000000"/>
          <w:sz w:val="22"/>
          <w:szCs w:val="22"/>
        </w:rPr>
        <w:t xml:space="preserve"> DE 2022 </w:t>
      </w:r>
      <w:r w:rsidR="00F07255" w:rsidRPr="008A482B">
        <w:rPr>
          <w:rFonts w:ascii="Arial" w:eastAsia="Arial" w:hAnsi="Arial" w:cs="Arial"/>
          <w:b/>
          <w:color w:val="000000"/>
          <w:sz w:val="22"/>
          <w:szCs w:val="22"/>
        </w:rPr>
        <w:t xml:space="preserve">CÁMARA </w:t>
      </w:r>
    </w:p>
    <w:p w14:paraId="7351A3A5" w14:textId="77777777" w:rsidR="00823E0C" w:rsidRPr="008A482B" w:rsidRDefault="00823E0C" w:rsidP="00F07255">
      <w:pPr>
        <w:jc w:val="center"/>
        <w:rPr>
          <w:rFonts w:ascii="Arial" w:eastAsia="Arial" w:hAnsi="Arial" w:cs="Arial"/>
          <w:b/>
          <w:color w:val="000000"/>
          <w:sz w:val="22"/>
          <w:szCs w:val="22"/>
        </w:rPr>
      </w:pPr>
    </w:p>
    <w:p w14:paraId="2BBCE789" w14:textId="6EB69579" w:rsidR="007222F5" w:rsidRPr="008A482B" w:rsidRDefault="0099685D" w:rsidP="00F07255">
      <w:pPr>
        <w:pBdr>
          <w:top w:val="nil"/>
          <w:left w:val="nil"/>
          <w:bottom w:val="nil"/>
          <w:right w:val="nil"/>
          <w:between w:val="nil"/>
        </w:pBdr>
        <w:jc w:val="center"/>
        <w:rPr>
          <w:rFonts w:ascii="Arial" w:eastAsia="Times New Roman" w:hAnsi="Arial" w:cs="Arial"/>
          <w:i/>
          <w:iCs/>
          <w:sz w:val="22"/>
          <w:szCs w:val="22"/>
          <w:lang w:eastAsia="es-CO"/>
        </w:rPr>
      </w:pPr>
      <w:r w:rsidRPr="008A482B">
        <w:rPr>
          <w:rFonts w:ascii="Arial" w:eastAsia="Times New Roman" w:hAnsi="Arial" w:cs="Arial"/>
          <w:i/>
          <w:iCs/>
          <w:sz w:val="22"/>
          <w:szCs w:val="22"/>
          <w:lang w:eastAsia="es-CO"/>
        </w:rPr>
        <w:t>“Por la cual se declara la imprescriptibilidad de la acción penal para los homicidios contra los integrantes de la Fuerza Pública”</w:t>
      </w:r>
    </w:p>
    <w:p w14:paraId="40DDF2FE" w14:textId="77777777" w:rsidR="003839D8" w:rsidRPr="008A482B" w:rsidRDefault="003839D8" w:rsidP="00F07255">
      <w:pPr>
        <w:pBdr>
          <w:top w:val="nil"/>
          <w:left w:val="nil"/>
          <w:bottom w:val="nil"/>
          <w:right w:val="nil"/>
          <w:between w:val="nil"/>
        </w:pBdr>
        <w:jc w:val="center"/>
        <w:rPr>
          <w:rFonts w:ascii="Arial" w:eastAsia="Arial" w:hAnsi="Arial" w:cs="Arial"/>
          <w:b/>
          <w:color w:val="000000"/>
          <w:sz w:val="22"/>
          <w:szCs w:val="22"/>
        </w:rPr>
      </w:pPr>
    </w:p>
    <w:p w14:paraId="344A4BCF" w14:textId="24B08F37" w:rsidR="00204346" w:rsidRDefault="00204346" w:rsidP="00F07255">
      <w:pPr>
        <w:pBdr>
          <w:top w:val="nil"/>
          <w:left w:val="nil"/>
          <w:bottom w:val="nil"/>
          <w:right w:val="nil"/>
          <w:between w:val="nil"/>
        </w:pBdr>
        <w:jc w:val="center"/>
        <w:rPr>
          <w:rFonts w:ascii="Arial" w:hAnsi="Arial" w:cs="Arial"/>
          <w:b/>
          <w:color w:val="000000"/>
          <w:sz w:val="22"/>
          <w:szCs w:val="22"/>
        </w:rPr>
      </w:pPr>
      <w:r w:rsidRPr="008A482B">
        <w:rPr>
          <w:rFonts w:ascii="Arial" w:hAnsi="Arial" w:cs="Arial"/>
          <w:b/>
          <w:color w:val="000000"/>
          <w:sz w:val="22"/>
          <w:szCs w:val="22"/>
        </w:rPr>
        <w:t>EL CONGRESO DE LA REPÚBLICA DE COLOMBIA</w:t>
      </w:r>
    </w:p>
    <w:p w14:paraId="2472FCA9" w14:textId="77777777" w:rsidR="003839D8" w:rsidRPr="008A482B" w:rsidRDefault="003839D8" w:rsidP="00F07255">
      <w:pPr>
        <w:pBdr>
          <w:top w:val="nil"/>
          <w:left w:val="nil"/>
          <w:bottom w:val="nil"/>
          <w:right w:val="nil"/>
          <w:between w:val="nil"/>
        </w:pBdr>
        <w:jc w:val="center"/>
        <w:rPr>
          <w:rFonts w:ascii="Arial" w:hAnsi="Arial" w:cs="Arial"/>
          <w:b/>
          <w:color w:val="000000"/>
          <w:sz w:val="22"/>
          <w:szCs w:val="22"/>
        </w:rPr>
      </w:pPr>
    </w:p>
    <w:p w14:paraId="214B15CC" w14:textId="6A53A467" w:rsidR="00204346" w:rsidRDefault="00204346" w:rsidP="00F07255">
      <w:pPr>
        <w:pBdr>
          <w:top w:val="nil"/>
          <w:left w:val="nil"/>
          <w:bottom w:val="nil"/>
          <w:right w:val="nil"/>
          <w:between w:val="nil"/>
        </w:pBdr>
        <w:jc w:val="center"/>
        <w:rPr>
          <w:rFonts w:ascii="Arial" w:hAnsi="Arial" w:cs="Arial"/>
          <w:b/>
          <w:color w:val="000000"/>
          <w:sz w:val="22"/>
          <w:szCs w:val="22"/>
        </w:rPr>
      </w:pPr>
      <w:r w:rsidRPr="008A482B">
        <w:rPr>
          <w:rFonts w:ascii="Arial" w:hAnsi="Arial" w:cs="Arial"/>
          <w:b/>
          <w:color w:val="000000"/>
          <w:sz w:val="22"/>
          <w:szCs w:val="22"/>
        </w:rPr>
        <w:t>DECRETA:</w:t>
      </w:r>
    </w:p>
    <w:p w14:paraId="25D6E86C" w14:textId="77777777" w:rsidR="003839D8" w:rsidRPr="008A482B" w:rsidRDefault="003839D8" w:rsidP="00F07255">
      <w:pPr>
        <w:pBdr>
          <w:top w:val="nil"/>
          <w:left w:val="nil"/>
          <w:bottom w:val="nil"/>
          <w:right w:val="nil"/>
          <w:between w:val="nil"/>
        </w:pBdr>
        <w:jc w:val="center"/>
        <w:rPr>
          <w:rFonts w:ascii="Arial" w:hAnsi="Arial" w:cs="Arial"/>
          <w:b/>
          <w:color w:val="000000"/>
          <w:sz w:val="22"/>
          <w:szCs w:val="22"/>
        </w:rPr>
      </w:pPr>
    </w:p>
    <w:p w14:paraId="477A8B2C"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b/>
          <w:bCs/>
          <w:sz w:val="22"/>
          <w:szCs w:val="22"/>
        </w:rPr>
        <w:t>Artículo 1.</w:t>
      </w:r>
      <w:r w:rsidRPr="008A482B">
        <w:rPr>
          <w:rFonts w:ascii="Arial" w:eastAsia="Times New Roman" w:hAnsi="Arial" w:cs="Arial"/>
          <w:sz w:val="22"/>
          <w:szCs w:val="22"/>
        </w:rPr>
        <w:t xml:space="preserve"> </w:t>
      </w:r>
      <w:r w:rsidRPr="008A482B">
        <w:rPr>
          <w:rFonts w:ascii="Arial" w:eastAsia="Times New Roman" w:hAnsi="Arial" w:cs="Arial"/>
          <w:b/>
          <w:bCs/>
          <w:sz w:val="22"/>
          <w:szCs w:val="22"/>
        </w:rPr>
        <w:t>Objeto.</w:t>
      </w:r>
      <w:r w:rsidRPr="008A482B">
        <w:rPr>
          <w:rFonts w:ascii="Arial" w:eastAsia="Times New Roman" w:hAnsi="Arial" w:cs="Arial"/>
          <w:sz w:val="22"/>
          <w:szCs w:val="22"/>
        </w:rPr>
        <w:t xml:space="preserve"> La presente ley tiene por objeto declarar la imprescriptibilidad de la acción penal para el delito de homicidio contra los integrantes de la Fuerza Pública.</w:t>
      </w:r>
    </w:p>
    <w:p w14:paraId="433A0102"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b/>
          <w:bCs/>
          <w:sz w:val="22"/>
          <w:szCs w:val="22"/>
        </w:rPr>
        <w:t xml:space="preserve">Artículo 2. </w:t>
      </w:r>
      <w:r w:rsidRPr="008A482B">
        <w:rPr>
          <w:rFonts w:ascii="Arial" w:eastAsia="Times New Roman" w:hAnsi="Arial" w:cs="Arial"/>
          <w:sz w:val="22"/>
          <w:szCs w:val="22"/>
        </w:rPr>
        <w:t>Modifíquese el inciso 2° del artículo </w:t>
      </w:r>
      <w:hyperlink r:id="rId9" w:anchor="83" w:history="1">
        <w:r w:rsidRPr="008A482B">
          <w:rPr>
            <w:rFonts w:ascii="Arial" w:eastAsia="Times New Roman" w:hAnsi="Arial" w:cs="Arial"/>
            <w:sz w:val="22"/>
            <w:szCs w:val="22"/>
          </w:rPr>
          <w:t>83</w:t>
        </w:r>
      </w:hyperlink>
      <w:r w:rsidRPr="008A482B">
        <w:rPr>
          <w:rFonts w:ascii="Arial" w:eastAsia="Times New Roman" w:hAnsi="Arial" w:cs="Arial"/>
          <w:sz w:val="22"/>
          <w:szCs w:val="22"/>
        </w:rPr>
        <w:t> de la Ley 599 de 2000, el cual quedará así:</w:t>
      </w:r>
    </w:p>
    <w:p w14:paraId="23458464"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b/>
          <w:bCs/>
          <w:sz w:val="22"/>
          <w:szCs w:val="22"/>
        </w:rPr>
        <w:t>Artículo </w:t>
      </w:r>
      <w:hyperlink r:id="rId10" w:anchor="83" w:history="1">
        <w:r w:rsidRPr="008A482B">
          <w:rPr>
            <w:rFonts w:ascii="Arial" w:eastAsia="Times New Roman" w:hAnsi="Arial" w:cs="Arial"/>
            <w:b/>
            <w:bCs/>
            <w:sz w:val="22"/>
            <w:szCs w:val="22"/>
          </w:rPr>
          <w:t>83</w:t>
        </w:r>
      </w:hyperlink>
      <w:r w:rsidRPr="008A482B">
        <w:rPr>
          <w:rFonts w:ascii="Arial" w:eastAsia="Times New Roman" w:hAnsi="Arial" w:cs="Arial"/>
          <w:b/>
          <w:bCs/>
          <w:sz w:val="22"/>
          <w:szCs w:val="22"/>
        </w:rPr>
        <w:t xml:space="preserve">. </w:t>
      </w:r>
      <w:r w:rsidRPr="003839D8">
        <w:rPr>
          <w:rFonts w:ascii="Arial" w:eastAsia="Times New Roman" w:hAnsi="Arial" w:cs="Arial"/>
          <w:b/>
          <w:bCs/>
          <w:sz w:val="22"/>
          <w:szCs w:val="22"/>
        </w:rPr>
        <w:t>Términ</w:t>
      </w:r>
      <w:r w:rsidRPr="008A482B">
        <w:rPr>
          <w:rFonts w:ascii="Arial" w:eastAsia="Times New Roman" w:hAnsi="Arial" w:cs="Arial"/>
          <w:b/>
          <w:bCs/>
          <w:sz w:val="22"/>
          <w:szCs w:val="22"/>
        </w:rPr>
        <w:t>o de prescripción de la acción penal. </w:t>
      </w:r>
      <w:r w:rsidRPr="008A482B">
        <w:rPr>
          <w:rFonts w:ascii="Arial" w:eastAsia="Times New Roman" w:hAnsi="Arial" w:cs="Arial"/>
          <w:sz w:val="22"/>
          <w:szCs w:val="22"/>
        </w:rPr>
        <w:t>La acción penal prescribirá en un tiempo igual al máximo de la pena fijada en la ley, si fuere privativa de la libertad, pero en ningún caso será inferior a cinco (5) años, ni excederá de veinte (20), salvo lo dispuesto en el inciso siguiente de este artículo.</w:t>
      </w:r>
    </w:p>
    <w:p w14:paraId="3CF4C1ED"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t>El término de prescripción para las conductas punibles de desaparición forzada, tortura, homicidio de miembro de una organización sindical, homicidio de defensor de Derechos Humanos, homicidio de periodista,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14:paraId="14C07386"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t>Cuando se trate de delitos contra la libertad, integridad y formación sexuales, del incesto o del homicidio agravado del artículo </w:t>
      </w:r>
      <w:hyperlink r:id="rId11" w:anchor="103A" w:history="1">
        <w:r w:rsidRPr="008A482B">
          <w:rPr>
            <w:rFonts w:ascii="Arial" w:eastAsia="Times New Roman" w:hAnsi="Arial" w:cs="Arial"/>
            <w:sz w:val="22"/>
            <w:szCs w:val="22"/>
          </w:rPr>
          <w:t>103A</w:t>
        </w:r>
      </w:hyperlink>
      <w:r w:rsidRPr="008A482B">
        <w:rPr>
          <w:rFonts w:ascii="Arial" w:eastAsia="Times New Roman" w:hAnsi="Arial" w:cs="Arial"/>
          <w:sz w:val="22"/>
          <w:szCs w:val="22"/>
        </w:rPr>
        <w:t> del Código Penal, cometidos contra niños, niñas y adolescentes, la acción penal será imprescriptible.</w:t>
      </w:r>
    </w:p>
    <w:p w14:paraId="361C87AA" w14:textId="77777777" w:rsidR="00F41557" w:rsidRPr="008A482B" w:rsidRDefault="00F41557" w:rsidP="0099685D">
      <w:pPr>
        <w:spacing w:before="100" w:beforeAutospacing="1" w:after="100" w:afterAutospacing="1"/>
        <w:jc w:val="both"/>
        <w:rPr>
          <w:rFonts w:ascii="Arial" w:eastAsia="Times New Roman" w:hAnsi="Arial" w:cs="Arial"/>
          <w:b/>
          <w:bCs/>
          <w:sz w:val="22"/>
          <w:szCs w:val="22"/>
          <w:u w:val="single"/>
        </w:rPr>
      </w:pPr>
      <w:r w:rsidRPr="008A482B">
        <w:rPr>
          <w:rFonts w:ascii="Arial" w:eastAsia="Times New Roman" w:hAnsi="Arial" w:cs="Arial"/>
          <w:b/>
          <w:bCs/>
          <w:sz w:val="22"/>
          <w:szCs w:val="22"/>
          <w:u w:val="single"/>
        </w:rPr>
        <w:t>La acción penal para los delitos de homicidio, que sean cometidos contra integrantes de la Fuerza Pública en servicio activo, será imprescriptible.</w:t>
      </w:r>
    </w:p>
    <w:p w14:paraId="7F8D5022"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t>En las conductas punibles que tengan señalada pena no privativa de la libertad, la acción penal prescribirá en cinco (5) años.</w:t>
      </w:r>
    </w:p>
    <w:p w14:paraId="6B481E36"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t>Para este efecto se tendrán en cuenta las causales sustanciales modificadoras de la punibilidad.</w:t>
      </w:r>
    </w:p>
    <w:p w14:paraId="48BBF32E"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14:paraId="6D6D0566"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t>También se aumentará el término de prescripción, en la mitad, cuando la conducta punible se hubiere iniciado o consumado en el exterior.</w:t>
      </w:r>
    </w:p>
    <w:p w14:paraId="0A750428" w14:textId="77777777" w:rsidR="00F41557"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sz w:val="22"/>
          <w:szCs w:val="22"/>
        </w:rPr>
        <w:lastRenderedPageBreak/>
        <w:t>En todo caso, cuando se aumente el término de prescripción, no se excederá el límite máximo fijado.</w:t>
      </w:r>
    </w:p>
    <w:p w14:paraId="4DAC3E2D" w14:textId="03F7B016" w:rsidR="007D09CE" w:rsidRPr="008A482B" w:rsidRDefault="00F41557" w:rsidP="0099685D">
      <w:pPr>
        <w:spacing w:before="100" w:beforeAutospacing="1" w:after="100" w:afterAutospacing="1"/>
        <w:jc w:val="both"/>
        <w:rPr>
          <w:rFonts w:ascii="Arial" w:eastAsia="Times New Roman" w:hAnsi="Arial" w:cs="Arial"/>
          <w:sz w:val="22"/>
          <w:szCs w:val="22"/>
        </w:rPr>
      </w:pPr>
      <w:r w:rsidRPr="008A482B">
        <w:rPr>
          <w:rFonts w:ascii="Arial" w:eastAsia="Times New Roman" w:hAnsi="Arial" w:cs="Arial"/>
          <w:b/>
          <w:bCs/>
          <w:sz w:val="22"/>
          <w:szCs w:val="22"/>
        </w:rPr>
        <w:t xml:space="preserve">Artículo 3. Vigencia.  </w:t>
      </w:r>
      <w:r w:rsidRPr="008A482B">
        <w:rPr>
          <w:rFonts w:ascii="Arial" w:eastAsia="Times New Roman" w:hAnsi="Arial" w:cs="Arial"/>
          <w:sz w:val="22"/>
          <w:szCs w:val="22"/>
        </w:rPr>
        <w:t>La presente ley rige desde su promulgación y deroga todas las disposiciones que le resulten contrarias.</w:t>
      </w:r>
    </w:p>
    <w:p w14:paraId="5A3DA913" w14:textId="77777777" w:rsidR="002D4DC8" w:rsidRDefault="002D4DC8" w:rsidP="00F07255">
      <w:pPr>
        <w:jc w:val="both"/>
        <w:rPr>
          <w:rFonts w:ascii="Arial" w:eastAsia="Arial" w:hAnsi="Arial" w:cs="Arial"/>
          <w:color w:val="000000"/>
          <w:sz w:val="22"/>
          <w:szCs w:val="22"/>
        </w:rPr>
      </w:pPr>
    </w:p>
    <w:p w14:paraId="1E38CAB3" w14:textId="0A8C1B57" w:rsidR="008939FA" w:rsidRPr="008A482B" w:rsidRDefault="008939FA" w:rsidP="00F07255">
      <w:pPr>
        <w:jc w:val="both"/>
        <w:rPr>
          <w:rFonts w:ascii="Arial" w:eastAsia="Arial" w:hAnsi="Arial" w:cs="Arial"/>
          <w:b/>
          <w:color w:val="000000"/>
          <w:sz w:val="22"/>
          <w:szCs w:val="22"/>
        </w:rPr>
      </w:pPr>
      <w:r w:rsidRPr="008A482B">
        <w:rPr>
          <w:rFonts w:ascii="Arial" w:eastAsia="Arial" w:hAnsi="Arial" w:cs="Arial"/>
          <w:color w:val="000000"/>
          <w:sz w:val="22"/>
          <w:szCs w:val="22"/>
        </w:rPr>
        <w:t>Cordialmente,</w:t>
      </w:r>
    </w:p>
    <w:p w14:paraId="1CA723F2" w14:textId="77777777" w:rsidR="0099685D" w:rsidRPr="008A482B" w:rsidRDefault="0099685D" w:rsidP="00F07255">
      <w:pPr>
        <w:jc w:val="both"/>
        <w:rPr>
          <w:rFonts w:ascii="Arial" w:eastAsia="Arial" w:hAnsi="Arial" w:cs="Arial"/>
          <w:b/>
          <w:color w:val="000000"/>
          <w:sz w:val="22"/>
          <w:szCs w:val="22"/>
        </w:rPr>
      </w:pPr>
    </w:p>
    <w:p w14:paraId="337D3585" w14:textId="255051CF" w:rsidR="008939FA" w:rsidRDefault="008939FA" w:rsidP="00F07255">
      <w:pPr>
        <w:jc w:val="both"/>
        <w:rPr>
          <w:rFonts w:ascii="Arial" w:eastAsia="Arial" w:hAnsi="Arial" w:cs="Arial"/>
          <w:b/>
          <w:color w:val="000000"/>
          <w:sz w:val="22"/>
          <w:szCs w:val="22"/>
        </w:rPr>
      </w:pPr>
    </w:p>
    <w:p w14:paraId="155F2C0C" w14:textId="77777777" w:rsidR="002D4DC8" w:rsidRPr="008A482B" w:rsidRDefault="002D4DC8" w:rsidP="00F07255">
      <w:pPr>
        <w:jc w:val="both"/>
        <w:rPr>
          <w:rFonts w:ascii="Arial" w:eastAsia="Arial" w:hAnsi="Arial" w:cs="Arial"/>
          <w:b/>
          <w:color w:val="000000"/>
          <w:sz w:val="22"/>
          <w:szCs w:val="22"/>
        </w:rPr>
      </w:pPr>
    </w:p>
    <w:p w14:paraId="657B0110" w14:textId="77777777" w:rsidR="008939FA" w:rsidRPr="008A482B" w:rsidRDefault="008939FA" w:rsidP="00F07255">
      <w:pPr>
        <w:jc w:val="both"/>
        <w:rPr>
          <w:rFonts w:ascii="Arial" w:eastAsia="Arial" w:hAnsi="Arial" w:cs="Arial"/>
          <w:b/>
          <w:color w:val="000000"/>
          <w:sz w:val="22"/>
          <w:szCs w:val="22"/>
        </w:rPr>
      </w:pPr>
    </w:p>
    <w:p w14:paraId="3AE4A32C" w14:textId="77777777" w:rsidR="008939FA" w:rsidRPr="008A482B" w:rsidRDefault="008939FA" w:rsidP="00F07255">
      <w:pPr>
        <w:jc w:val="both"/>
        <w:rPr>
          <w:rFonts w:ascii="Arial" w:eastAsia="Arial" w:hAnsi="Arial" w:cs="Arial"/>
          <w:b/>
          <w:color w:val="000000"/>
          <w:sz w:val="22"/>
          <w:szCs w:val="22"/>
        </w:rPr>
      </w:pPr>
      <w:r w:rsidRPr="008A482B">
        <w:rPr>
          <w:rFonts w:ascii="Arial" w:eastAsia="Arial" w:hAnsi="Arial" w:cs="Arial"/>
          <w:b/>
          <w:color w:val="000000"/>
          <w:sz w:val="22"/>
          <w:szCs w:val="22"/>
        </w:rPr>
        <w:t>HERNÁN DARÍO CADAVID MÁRQUEZ</w:t>
      </w:r>
    </w:p>
    <w:p w14:paraId="70549916" w14:textId="77777777" w:rsidR="008939FA" w:rsidRPr="008A482B" w:rsidRDefault="008939FA" w:rsidP="00F07255">
      <w:pPr>
        <w:jc w:val="both"/>
        <w:rPr>
          <w:rFonts w:ascii="Arial" w:eastAsia="Arial" w:hAnsi="Arial" w:cs="Arial"/>
          <w:b/>
          <w:color w:val="000000"/>
          <w:sz w:val="22"/>
          <w:szCs w:val="22"/>
        </w:rPr>
      </w:pPr>
      <w:r w:rsidRPr="008A482B">
        <w:rPr>
          <w:rFonts w:ascii="Arial" w:eastAsia="Arial" w:hAnsi="Arial" w:cs="Arial"/>
          <w:b/>
          <w:color w:val="000000"/>
          <w:sz w:val="22"/>
          <w:szCs w:val="22"/>
        </w:rPr>
        <w:t>Representante a la Cámara</w:t>
      </w:r>
    </w:p>
    <w:p w14:paraId="4D5FA0C6" w14:textId="6118F817" w:rsidR="00D05BE6" w:rsidRPr="008A482B" w:rsidRDefault="002D4DC8" w:rsidP="00F07255">
      <w:pPr>
        <w:jc w:val="both"/>
        <w:rPr>
          <w:rFonts w:ascii="Arial" w:eastAsia="Arial" w:hAnsi="Arial" w:cs="Arial"/>
          <w:b/>
          <w:color w:val="000000"/>
          <w:sz w:val="22"/>
          <w:szCs w:val="22"/>
        </w:rPr>
      </w:pPr>
      <w:r>
        <w:rPr>
          <w:rFonts w:ascii="Arial" w:eastAsia="Arial" w:hAnsi="Arial" w:cs="Arial"/>
          <w:b/>
          <w:color w:val="000000"/>
          <w:sz w:val="22"/>
          <w:szCs w:val="22"/>
        </w:rPr>
        <w:t xml:space="preserve">Ponente </w:t>
      </w:r>
      <w:r w:rsidR="0099685D" w:rsidRPr="008A482B">
        <w:rPr>
          <w:rFonts w:ascii="Arial" w:eastAsia="Arial" w:hAnsi="Arial" w:cs="Arial"/>
          <w:b/>
          <w:color w:val="000000"/>
          <w:sz w:val="22"/>
          <w:szCs w:val="22"/>
        </w:rPr>
        <w:t xml:space="preserve">Coordinador </w:t>
      </w:r>
    </w:p>
    <w:p w14:paraId="6C03B24B" w14:textId="64DBDE75" w:rsidR="00DE5894" w:rsidRPr="008A482B" w:rsidRDefault="00DE5894" w:rsidP="00F07255">
      <w:pPr>
        <w:jc w:val="both"/>
        <w:rPr>
          <w:rFonts w:ascii="Arial" w:eastAsia="Arial" w:hAnsi="Arial" w:cs="Arial"/>
          <w:b/>
          <w:color w:val="000000"/>
          <w:sz w:val="22"/>
          <w:szCs w:val="22"/>
        </w:rPr>
      </w:pPr>
    </w:p>
    <w:p w14:paraId="2254FF63" w14:textId="77777777" w:rsidR="00620D10" w:rsidRPr="008A482B" w:rsidRDefault="00620D10" w:rsidP="00F07255">
      <w:pPr>
        <w:jc w:val="both"/>
        <w:rPr>
          <w:rFonts w:ascii="Arial" w:eastAsia="Arial" w:hAnsi="Arial" w:cs="Arial"/>
          <w:b/>
          <w:color w:val="000000"/>
          <w:sz w:val="22"/>
          <w:szCs w:val="22"/>
        </w:rPr>
      </w:pPr>
    </w:p>
    <w:p w14:paraId="4544A07E" w14:textId="74CDCE46" w:rsidR="00D11858" w:rsidRPr="008A482B" w:rsidRDefault="00D11858" w:rsidP="00F07255">
      <w:pPr>
        <w:rPr>
          <w:rFonts w:ascii="Arial" w:hAnsi="Arial" w:cs="Arial"/>
          <w:sz w:val="22"/>
          <w:szCs w:val="22"/>
        </w:rPr>
      </w:pPr>
    </w:p>
    <w:p w14:paraId="166F3EBB" w14:textId="44C6439B" w:rsidR="00D11858" w:rsidRPr="008A482B" w:rsidRDefault="00D11858" w:rsidP="00F07255">
      <w:pPr>
        <w:rPr>
          <w:rFonts w:ascii="Arial" w:hAnsi="Arial" w:cs="Arial"/>
          <w:sz w:val="22"/>
          <w:szCs w:val="22"/>
        </w:rPr>
      </w:pPr>
    </w:p>
    <w:p w14:paraId="051C6994" w14:textId="77777777" w:rsidR="00D11858" w:rsidRPr="008A482B" w:rsidRDefault="00D11858" w:rsidP="00F07255">
      <w:pPr>
        <w:rPr>
          <w:rFonts w:ascii="Arial" w:hAnsi="Arial" w:cs="Arial"/>
          <w:sz w:val="22"/>
          <w:szCs w:val="22"/>
        </w:rPr>
      </w:pPr>
    </w:p>
    <w:sectPr w:rsidR="00D11858" w:rsidRPr="008A482B" w:rsidSect="00F33B8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DEAE" w14:textId="77777777" w:rsidR="00074EC7" w:rsidRDefault="00074EC7" w:rsidP="00F33B85">
      <w:r>
        <w:separator/>
      </w:r>
    </w:p>
  </w:endnote>
  <w:endnote w:type="continuationSeparator" w:id="0">
    <w:p w14:paraId="5240B430" w14:textId="77777777" w:rsidR="00074EC7" w:rsidRDefault="00074EC7" w:rsidP="00F3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BDB2" w14:textId="77777777" w:rsidR="00074EC7" w:rsidRDefault="00074EC7" w:rsidP="00F33B85">
      <w:r>
        <w:separator/>
      </w:r>
    </w:p>
  </w:footnote>
  <w:footnote w:type="continuationSeparator" w:id="0">
    <w:p w14:paraId="03FCA58D" w14:textId="77777777" w:rsidR="00074EC7" w:rsidRDefault="00074EC7" w:rsidP="00F33B85">
      <w:r>
        <w:continuationSeparator/>
      </w:r>
    </w:p>
  </w:footnote>
  <w:footnote w:id="1">
    <w:p w14:paraId="5F7DC823" w14:textId="77777777" w:rsidR="0073551C" w:rsidRPr="003839D8" w:rsidRDefault="0073551C" w:rsidP="0073551C">
      <w:pPr>
        <w:pStyle w:val="Textonotapie"/>
        <w:rPr>
          <w:rFonts w:ascii="Arial" w:hAnsi="Arial" w:cs="Arial"/>
        </w:rPr>
      </w:pPr>
      <w:r w:rsidRPr="003839D8">
        <w:rPr>
          <w:rStyle w:val="Refdenotaalpie"/>
          <w:rFonts w:ascii="Arial" w:hAnsi="Arial" w:cs="Arial"/>
          <w:sz w:val="18"/>
          <w:szCs w:val="18"/>
        </w:rPr>
        <w:footnoteRef/>
      </w:r>
      <w:r w:rsidRPr="003839D8">
        <w:rPr>
          <w:rFonts w:ascii="Arial" w:hAnsi="Arial" w:cs="Arial"/>
          <w:sz w:val="18"/>
          <w:szCs w:val="18"/>
        </w:rPr>
        <w:t xml:space="preserve"> Informe </w:t>
      </w:r>
      <w:proofErr w:type="spellStart"/>
      <w:r w:rsidRPr="003839D8">
        <w:rPr>
          <w:rFonts w:ascii="Arial" w:hAnsi="Arial" w:cs="Arial"/>
          <w:sz w:val="18"/>
          <w:szCs w:val="18"/>
        </w:rPr>
        <w:t>Mindefensa</w:t>
      </w:r>
      <w:proofErr w:type="spellEnd"/>
      <w:r w:rsidRPr="003839D8">
        <w:rPr>
          <w:rFonts w:ascii="Arial" w:hAnsi="Arial" w:cs="Arial"/>
          <w:sz w:val="18"/>
          <w:szCs w:val="18"/>
        </w:rPr>
        <w:t xml:space="preserve">. Link: </w:t>
      </w:r>
      <w:hyperlink r:id="rId1" w:history="1">
        <w:r w:rsidRPr="003839D8">
          <w:rPr>
            <w:rStyle w:val="Hipervnculo"/>
            <w:rFonts w:ascii="Arial" w:hAnsi="Arial" w:cs="Arial"/>
            <w:sz w:val="18"/>
            <w:szCs w:val="18"/>
          </w:rPr>
          <w:t>https://www.mindefensa.gov.co/irj/go/km/docs/Mindefensa/Documentos/descargas/estudios_sectoriales/info_estadistica/Logros_Sector_Defensa.pdf</w:t>
        </w:r>
      </w:hyperlink>
      <w:r w:rsidRPr="003839D8">
        <w:rPr>
          <w:rFonts w:ascii="Arial" w:hAnsi="Arial" w:cs="Arial"/>
          <w:sz w:val="18"/>
          <w:szCs w:val="18"/>
        </w:rPr>
        <w:t xml:space="preserve"> </w:t>
      </w:r>
    </w:p>
  </w:footnote>
  <w:footnote w:id="2">
    <w:p w14:paraId="7773BEAD" w14:textId="77777777" w:rsidR="0073551C" w:rsidRPr="003839D8" w:rsidRDefault="0073551C" w:rsidP="0073551C">
      <w:pPr>
        <w:pStyle w:val="Textonotapie"/>
        <w:rPr>
          <w:rFonts w:ascii="Arial" w:hAnsi="Arial" w:cs="Arial"/>
        </w:rPr>
      </w:pPr>
      <w:r w:rsidRPr="003839D8">
        <w:rPr>
          <w:rStyle w:val="Refdenotaalpie"/>
          <w:rFonts w:ascii="Arial" w:hAnsi="Arial" w:cs="Arial"/>
          <w:sz w:val="18"/>
          <w:szCs w:val="18"/>
        </w:rPr>
        <w:footnoteRef/>
      </w:r>
      <w:r w:rsidRPr="003839D8">
        <w:rPr>
          <w:rFonts w:ascii="Arial" w:hAnsi="Arial" w:cs="Arial"/>
          <w:sz w:val="18"/>
          <w:szCs w:val="18"/>
        </w:rPr>
        <w:t xml:space="preserve"> Índice Global de Impunidad. Link: </w:t>
      </w:r>
      <w:hyperlink r:id="rId2" w:history="1">
        <w:r w:rsidRPr="003839D8">
          <w:rPr>
            <w:rStyle w:val="Hipervnculo"/>
            <w:rFonts w:ascii="Arial" w:hAnsi="Arial" w:cs="Arial"/>
            <w:sz w:val="18"/>
            <w:szCs w:val="18"/>
          </w:rPr>
          <w:t>https://www.udlap.mx/cesij/files/indices-globales/0-IGI-2020-UDLAP.pdf</w:t>
        </w:r>
      </w:hyperlink>
      <w:r w:rsidRPr="003839D8">
        <w:rPr>
          <w:rFonts w:ascii="Arial" w:hAnsi="Arial" w:cs="Arial"/>
          <w:sz w:val="18"/>
          <w:szCs w:val="18"/>
        </w:rPr>
        <w:t xml:space="preserve"> </w:t>
      </w:r>
    </w:p>
  </w:footnote>
  <w:footnote w:id="3">
    <w:p w14:paraId="2E66FC7E" w14:textId="77777777" w:rsidR="0073551C" w:rsidRDefault="0073551C" w:rsidP="0073551C">
      <w:pPr>
        <w:pStyle w:val="Textonotapie"/>
      </w:pPr>
      <w:r>
        <w:rPr>
          <w:rStyle w:val="Refdenotaalpie"/>
        </w:rPr>
        <w:footnoteRef/>
      </w:r>
      <w:r w:rsidRPr="003839D8">
        <w:rPr>
          <w:rFonts w:ascii="Arial" w:hAnsi="Arial" w:cs="Arial"/>
          <w:sz w:val="18"/>
          <w:szCs w:val="18"/>
        </w:rPr>
        <w:t xml:space="preserve"> Sentencia C-116 de 2021. Corte Constitucional. Link:  </w:t>
      </w:r>
      <w:hyperlink r:id="rId3" w:history="1">
        <w:r w:rsidRPr="003839D8">
          <w:rPr>
            <w:rStyle w:val="Hipervnculo"/>
            <w:rFonts w:ascii="Arial" w:hAnsi="Arial" w:cs="Arial"/>
            <w:sz w:val="18"/>
            <w:szCs w:val="18"/>
          </w:rPr>
          <w:t>https://www.corteconstitucional.gov.co/relatoria/2021/C-116-21.htm</w:t>
        </w:r>
      </w:hyperlink>
      <w:r w:rsidRPr="003839D8">
        <w:rPr>
          <w:sz w:val="18"/>
          <w:szCs w:val="18"/>
        </w:rPr>
        <w:t xml:space="preserve"> </w:t>
      </w:r>
    </w:p>
  </w:footnote>
  <w:footnote w:id="4">
    <w:p w14:paraId="3FF13B2D" w14:textId="77777777" w:rsidR="0073551C" w:rsidRPr="003839D8" w:rsidRDefault="0073551C" w:rsidP="0073551C">
      <w:pPr>
        <w:pStyle w:val="Textonotapie"/>
        <w:rPr>
          <w:rFonts w:ascii="Arial" w:hAnsi="Arial" w:cs="Arial"/>
        </w:rPr>
      </w:pPr>
      <w:r w:rsidRPr="003839D8">
        <w:rPr>
          <w:rStyle w:val="Refdenotaalpie"/>
          <w:rFonts w:ascii="Arial" w:hAnsi="Arial" w:cs="Arial"/>
          <w:sz w:val="18"/>
          <w:szCs w:val="18"/>
        </w:rPr>
        <w:footnoteRef/>
      </w:r>
      <w:r w:rsidRPr="003839D8">
        <w:rPr>
          <w:rFonts w:ascii="Arial" w:hAnsi="Arial" w:cs="Arial"/>
          <w:sz w:val="18"/>
          <w:szCs w:val="18"/>
        </w:rPr>
        <w:t xml:space="preserve"> Informe </w:t>
      </w:r>
      <w:proofErr w:type="spellStart"/>
      <w:r w:rsidRPr="003839D8">
        <w:rPr>
          <w:rFonts w:ascii="Arial" w:hAnsi="Arial" w:cs="Arial"/>
          <w:sz w:val="18"/>
          <w:szCs w:val="18"/>
        </w:rPr>
        <w:t>Funvides</w:t>
      </w:r>
      <w:proofErr w:type="spellEnd"/>
      <w:r w:rsidRPr="003839D8">
        <w:rPr>
          <w:rFonts w:ascii="Arial" w:hAnsi="Arial" w:cs="Arial"/>
          <w:sz w:val="18"/>
          <w:szCs w:val="18"/>
        </w:rPr>
        <w:t xml:space="preserve">. Link: </w:t>
      </w:r>
      <w:hyperlink r:id="rId4" w:history="1">
        <w:r w:rsidRPr="003839D8">
          <w:rPr>
            <w:rStyle w:val="Hipervnculo"/>
            <w:rFonts w:ascii="Arial" w:hAnsi="Arial" w:cs="Arial"/>
            <w:sz w:val="18"/>
            <w:szCs w:val="18"/>
          </w:rPr>
          <w:t>https://www.reclutamiento.mil.co/el-ejercito-nacional-y-la-organizacion-de-victimas-funvides-entregan-a-la-jep-el-informe-caminando-hacia-la-paz-verdad-y-dolor/</w:t>
        </w:r>
      </w:hyperlink>
      <w:r w:rsidRPr="003839D8">
        <w:rPr>
          <w:rFonts w:ascii="Arial" w:hAnsi="Arial" w:cs="Arial"/>
          <w:sz w:val="18"/>
          <w:szCs w:val="18"/>
        </w:rPr>
        <w:t xml:space="preserve"> </w:t>
      </w:r>
    </w:p>
  </w:footnote>
  <w:footnote w:id="5">
    <w:p w14:paraId="2477F92D" w14:textId="77777777" w:rsidR="0073551C" w:rsidRPr="003839D8" w:rsidRDefault="0073551C" w:rsidP="0073551C">
      <w:pPr>
        <w:pStyle w:val="Textonotapie"/>
        <w:rPr>
          <w:rFonts w:ascii="Arial" w:hAnsi="Arial" w:cs="Arial"/>
        </w:rPr>
      </w:pPr>
      <w:r w:rsidRPr="003839D8">
        <w:rPr>
          <w:rStyle w:val="Refdenotaalpie"/>
          <w:rFonts w:ascii="Arial" w:hAnsi="Arial" w:cs="Arial"/>
          <w:sz w:val="18"/>
          <w:szCs w:val="18"/>
        </w:rPr>
        <w:footnoteRef/>
      </w:r>
      <w:r w:rsidRPr="003839D8">
        <w:rPr>
          <w:rFonts w:ascii="Arial" w:hAnsi="Arial" w:cs="Arial"/>
          <w:sz w:val="18"/>
          <w:szCs w:val="18"/>
        </w:rPr>
        <w:t xml:space="preserve">Primicia | El macabro plan del Clan del Golfo: están reclutando a ex-Farc para asesinar a policías en ‘plan pistola’. 28/07/2022. Semana. Link: </w:t>
      </w:r>
      <w:hyperlink r:id="rId5" w:history="1">
        <w:r w:rsidRPr="003839D8">
          <w:rPr>
            <w:rStyle w:val="Hipervnculo"/>
            <w:rFonts w:ascii="Arial" w:hAnsi="Arial" w:cs="Arial"/>
            <w:sz w:val="18"/>
            <w:szCs w:val="18"/>
          </w:rPr>
          <w:t>https://www.semana.com/nacion/articulo/primicia-el-macabro-plan-del-clan-del-golfo-estan-reclutando-a-exfarc-para-asesinar-a-policias-en-plan-pistola/202208/</w:t>
        </w:r>
      </w:hyperlink>
      <w:r w:rsidRPr="003839D8">
        <w:rPr>
          <w:rFonts w:ascii="Arial" w:hAnsi="Arial" w:cs="Arial"/>
          <w:sz w:val="18"/>
          <w:szCs w:val="18"/>
        </w:rPr>
        <w:t xml:space="preserve"> </w:t>
      </w:r>
    </w:p>
  </w:footnote>
  <w:footnote w:id="6">
    <w:p w14:paraId="299F064C" w14:textId="77777777" w:rsidR="0073551C" w:rsidRPr="003839D8" w:rsidRDefault="0073551C" w:rsidP="0073551C">
      <w:pPr>
        <w:pStyle w:val="Textonotapie"/>
        <w:rPr>
          <w:rFonts w:ascii="Arial" w:hAnsi="Arial" w:cs="Arial"/>
          <w:lang w:val="en-US"/>
        </w:rPr>
      </w:pPr>
      <w:r w:rsidRPr="003839D8">
        <w:rPr>
          <w:rStyle w:val="Refdenotaalpie"/>
          <w:rFonts w:ascii="Arial" w:hAnsi="Arial" w:cs="Arial"/>
          <w:sz w:val="18"/>
          <w:szCs w:val="18"/>
        </w:rPr>
        <w:footnoteRef/>
      </w:r>
      <w:r w:rsidRPr="003839D8">
        <w:rPr>
          <w:rFonts w:ascii="Arial" w:hAnsi="Arial" w:cs="Arial"/>
          <w:sz w:val="18"/>
          <w:szCs w:val="18"/>
        </w:rPr>
        <w:t xml:space="preserve"> Jean Carlo Mejía Azuero. El “plan pistola” como crimen de lesa humanidad en contra de miembros del Ejército Nacional. </w:t>
      </w:r>
      <w:r w:rsidRPr="003839D8">
        <w:rPr>
          <w:rFonts w:ascii="Arial" w:hAnsi="Arial" w:cs="Arial"/>
          <w:sz w:val="18"/>
          <w:szCs w:val="18"/>
          <w:lang w:val="en-US"/>
        </w:rPr>
        <w:t xml:space="preserve">05/10/2018. Link: </w:t>
      </w:r>
      <w:hyperlink r:id="rId6" w:history="1">
        <w:r w:rsidRPr="003839D8">
          <w:rPr>
            <w:rStyle w:val="Hipervnculo"/>
            <w:rFonts w:ascii="Arial" w:hAnsi="Arial" w:cs="Arial"/>
            <w:sz w:val="18"/>
            <w:szCs w:val="18"/>
            <w:lang w:val="en-US"/>
          </w:rPr>
          <w:t>https://revistas.udem.edu.co/index.php/opinion/article/view/2876/2625</w:t>
        </w:r>
      </w:hyperlink>
      <w:r w:rsidRPr="003839D8">
        <w:rPr>
          <w:rFonts w:ascii="Arial" w:hAnsi="Arial" w:cs="Arial"/>
          <w:lang w:val="en-US"/>
        </w:rPr>
        <w:t xml:space="preserve"> </w:t>
      </w:r>
    </w:p>
  </w:footnote>
  <w:footnote w:id="7">
    <w:p w14:paraId="54C14802" w14:textId="77777777" w:rsidR="0073551C" w:rsidRPr="003839D8" w:rsidRDefault="0073551C" w:rsidP="0073551C">
      <w:pPr>
        <w:pStyle w:val="Textonotapie"/>
        <w:rPr>
          <w:rFonts w:ascii="Arial" w:hAnsi="Arial" w:cs="Arial"/>
        </w:rPr>
      </w:pPr>
      <w:r w:rsidRPr="003839D8">
        <w:rPr>
          <w:rStyle w:val="Refdenotaalpie"/>
          <w:rFonts w:ascii="Arial" w:hAnsi="Arial" w:cs="Arial"/>
          <w:sz w:val="18"/>
          <w:szCs w:val="18"/>
        </w:rPr>
        <w:footnoteRef/>
      </w:r>
      <w:r w:rsidRPr="003839D8">
        <w:rPr>
          <w:rFonts w:ascii="Arial" w:hAnsi="Arial" w:cs="Arial"/>
          <w:sz w:val="18"/>
          <w:szCs w:val="18"/>
        </w:rPr>
        <w:t xml:space="preserve"> Convención Americana sobre Derechos Humanos comentada. Suprema Corte de Justicia de la Nación. Link: </w:t>
      </w:r>
      <w:hyperlink r:id="rId7" w:history="1">
        <w:r w:rsidRPr="003839D8">
          <w:rPr>
            <w:rStyle w:val="Hipervnculo"/>
            <w:rFonts w:ascii="Arial" w:hAnsi="Arial" w:cs="Arial"/>
            <w:sz w:val="18"/>
            <w:szCs w:val="18"/>
          </w:rPr>
          <w:t>https://www.corteidh.or.cr/tablas/30237.pdf</w:t>
        </w:r>
      </w:hyperlink>
      <w:r w:rsidRPr="003839D8">
        <w:rPr>
          <w:rFonts w:ascii="Arial" w:hAnsi="Arial" w:cs="Arial"/>
          <w:sz w:val="18"/>
          <w:szCs w:val="18"/>
        </w:rPr>
        <w:t xml:space="preserve"> </w:t>
      </w:r>
    </w:p>
  </w:footnote>
  <w:footnote w:id="8">
    <w:p w14:paraId="15F449A0" w14:textId="77777777" w:rsidR="0073551C" w:rsidRPr="003839D8" w:rsidRDefault="0073551C" w:rsidP="0073551C">
      <w:pPr>
        <w:pStyle w:val="Textonotapie"/>
        <w:rPr>
          <w:rFonts w:ascii="Arial" w:hAnsi="Arial" w:cs="Arial"/>
        </w:rPr>
      </w:pPr>
      <w:r w:rsidRPr="003839D8">
        <w:rPr>
          <w:rStyle w:val="Refdenotaalpie"/>
          <w:rFonts w:ascii="Arial" w:hAnsi="Arial" w:cs="Arial"/>
          <w:sz w:val="18"/>
          <w:szCs w:val="18"/>
        </w:rPr>
        <w:footnoteRef/>
      </w:r>
      <w:r w:rsidRPr="003839D8">
        <w:rPr>
          <w:rFonts w:ascii="Arial" w:hAnsi="Arial" w:cs="Arial"/>
          <w:sz w:val="18"/>
          <w:szCs w:val="18"/>
        </w:rPr>
        <w:t xml:space="preserve"> Sentencia C-422/21. Corte Constitucional. Link: </w:t>
      </w:r>
      <w:hyperlink r:id="rId8" w:anchor="INICIO" w:history="1">
        <w:r w:rsidRPr="003839D8">
          <w:rPr>
            <w:rStyle w:val="Hipervnculo"/>
            <w:rFonts w:ascii="Arial" w:eastAsia="Times New Roman" w:hAnsi="Arial" w:cs="Arial"/>
            <w:sz w:val="18"/>
            <w:szCs w:val="18"/>
            <w:lang w:eastAsia="es-CO"/>
          </w:rPr>
          <w:t>http://www.secretariasenado.gov.co/senado/basedoc/c-422_2021.html#INICIO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91F" w14:textId="4E8542AC" w:rsidR="0073551C" w:rsidRDefault="0073551C">
    <w:pPr>
      <w:pStyle w:val="Encabezado"/>
    </w:pPr>
    <w:r>
      <w:rPr>
        <w:noProof/>
        <w:lang w:val="es-ES" w:eastAsia="es-ES"/>
      </w:rPr>
      <w:drawing>
        <wp:anchor distT="0" distB="0" distL="114300" distR="114300" simplePos="0" relativeHeight="251658240" behindDoc="1" locked="0" layoutInCell="1" allowOverlap="1" wp14:anchorId="695B94DA" wp14:editId="3377ADA3">
          <wp:simplePos x="0" y="0"/>
          <wp:positionH relativeFrom="margin">
            <wp:posOffset>-1079500</wp:posOffset>
          </wp:positionH>
          <wp:positionV relativeFrom="margin">
            <wp:posOffset>-895532</wp:posOffset>
          </wp:positionV>
          <wp:extent cx="7772400" cy="1005891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9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AC2"/>
    <w:multiLevelType w:val="hybridMultilevel"/>
    <w:tmpl w:val="76FAE05E"/>
    <w:lvl w:ilvl="0" w:tplc="1C9832E6">
      <w:start w:val="9"/>
      <w:numFmt w:val="upperRoman"/>
      <w:lvlText w:val="%1."/>
      <w:lvlJc w:val="right"/>
      <w:pPr>
        <w:tabs>
          <w:tab w:val="num" w:pos="720"/>
        </w:tabs>
        <w:ind w:left="720" w:hanging="360"/>
      </w:pPr>
    </w:lvl>
    <w:lvl w:ilvl="1" w:tplc="FAEA9F50" w:tentative="1">
      <w:start w:val="1"/>
      <w:numFmt w:val="decimal"/>
      <w:lvlText w:val="%2."/>
      <w:lvlJc w:val="left"/>
      <w:pPr>
        <w:tabs>
          <w:tab w:val="num" w:pos="1440"/>
        </w:tabs>
        <w:ind w:left="1440" w:hanging="360"/>
      </w:pPr>
    </w:lvl>
    <w:lvl w:ilvl="2" w:tplc="33B05CD4" w:tentative="1">
      <w:start w:val="1"/>
      <w:numFmt w:val="decimal"/>
      <w:lvlText w:val="%3."/>
      <w:lvlJc w:val="left"/>
      <w:pPr>
        <w:tabs>
          <w:tab w:val="num" w:pos="2160"/>
        </w:tabs>
        <w:ind w:left="2160" w:hanging="360"/>
      </w:pPr>
    </w:lvl>
    <w:lvl w:ilvl="3" w:tplc="C44C4B84" w:tentative="1">
      <w:start w:val="1"/>
      <w:numFmt w:val="decimal"/>
      <w:lvlText w:val="%4."/>
      <w:lvlJc w:val="left"/>
      <w:pPr>
        <w:tabs>
          <w:tab w:val="num" w:pos="2880"/>
        </w:tabs>
        <w:ind w:left="2880" w:hanging="360"/>
      </w:pPr>
    </w:lvl>
    <w:lvl w:ilvl="4" w:tplc="7D3CF0A0" w:tentative="1">
      <w:start w:val="1"/>
      <w:numFmt w:val="decimal"/>
      <w:lvlText w:val="%5."/>
      <w:lvlJc w:val="left"/>
      <w:pPr>
        <w:tabs>
          <w:tab w:val="num" w:pos="3600"/>
        </w:tabs>
        <w:ind w:left="3600" w:hanging="360"/>
      </w:pPr>
    </w:lvl>
    <w:lvl w:ilvl="5" w:tplc="CDC210C0" w:tentative="1">
      <w:start w:val="1"/>
      <w:numFmt w:val="decimal"/>
      <w:lvlText w:val="%6."/>
      <w:lvlJc w:val="left"/>
      <w:pPr>
        <w:tabs>
          <w:tab w:val="num" w:pos="4320"/>
        </w:tabs>
        <w:ind w:left="4320" w:hanging="360"/>
      </w:pPr>
    </w:lvl>
    <w:lvl w:ilvl="6" w:tplc="0F301CA2" w:tentative="1">
      <w:start w:val="1"/>
      <w:numFmt w:val="decimal"/>
      <w:lvlText w:val="%7."/>
      <w:lvlJc w:val="left"/>
      <w:pPr>
        <w:tabs>
          <w:tab w:val="num" w:pos="5040"/>
        </w:tabs>
        <w:ind w:left="5040" w:hanging="360"/>
      </w:pPr>
    </w:lvl>
    <w:lvl w:ilvl="7" w:tplc="C76E83D6" w:tentative="1">
      <w:start w:val="1"/>
      <w:numFmt w:val="decimal"/>
      <w:lvlText w:val="%8."/>
      <w:lvlJc w:val="left"/>
      <w:pPr>
        <w:tabs>
          <w:tab w:val="num" w:pos="5760"/>
        </w:tabs>
        <w:ind w:left="5760" w:hanging="360"/>
      </w:pPr>
    </w:lvl>
    <w:lvl w:ilvl="8" w:tplc="1FECFD78" w:tentative="1">
      <w:start w:val="1"/>
      <w:numFmt w:val="decimal"/>
      <w:lvlText w:val="%9."/>
      <w:lvlJc w:val="left"/>
      <w:pPr>
        <w:tabs>
          <w:tab w:val="num" w:pos="6480"/>
        </w:tabs>
        <w:ind w:left="6480" w:hanging="360"/>
      </w:pPr>
    </w:lvl>
  </w:abstractNum>
  <w:abstractNum w:abstractNumId="1" w15:restartNumberingAfterBreak="0">
    <w:nsid w:val="12DD5AD7"/>
    <w:multiLevelType w:val="multilevel"/>
    <w:tmpl w:val="674416B0"/>
    <w:lvl w:ilvl="0">
      <w:start w:val="1"/>
      <w:numFmt w:val="decimal"/>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030AC"/>
    <w:multiLevelType w:val="hybridMultilevel"/>
    <w:tmpl w:val="582AAE86"/>
    <w:lvl w:ilvl="0" w:tplc="E76EF5B4">
      <w:start w:val="1"/>
      <w:numFmt w:val="decimal"/>
      <w:lvlText w:val="%1."/>
      <w:lvlJc w:val="left"/>
      <w:pPr>
        <w:ind w:left="720" w:hanging="360"/>
      </w:pPr>
      <w:rPr>
        <w:rFonts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018FD"/>
    <w:multiLevelType w:val="hybridMultilevel"/>
    <w:tmpl w:val="422CEBA0"/>
    <w:lvl w:ilvl="0" w:tplc="F0F692C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7062CB"/>
    <w:multiLevelType w:val="hybridMultilevel"/>
    <w:tmpl w:val="AA4A51A4"/>
    <w:lvl w:ilvl="0" w:tplc="6A7800DA">
      <w:start w:val="8"/>
      <w:numFmt w:val="upperRoman"/>
      <w:lvlText w:val="%1."/>
      <w:lvlJc w:val="right"/>
      <w:pPr>
        <w:tabs>
          <w:tab w:val="num" w:pos="720"/>
        </w:tabs>
        <w:ind w:left="720" w:hanging="360"/>
      </w:pPr>
    </w:lvl>
    <w:lvl w:ilvl="1" w:tplc="11924B98" w:tentative="1">
      <w:start w:val="1"/>
      <w:numFmt w:val="decimal"/>
      <w:lvlText w:val="%2."/>
      <w:lvlJc w:val="left"/>
      <w:pPr>
        <w:tabs>
          <w:tab w:val="num" w:pos="1440"/>
        </w:tabs>
        <w:ind w:left="1440" w:hanging="360"/>
      </w:pPr>
    </w:lvl>
    <w:lvl w:ilvl="2" w:tplc="6DCE099E" w:tentative="1">
      <w:start w:val="1"/>
      <w:numFmt w:val="decimal"/>
      <w:lvlText w:val="%3."/>
      <w:lvlJc w:val="left"/>
      <w:pPr>
        <w:tabs>
          <w:tab w:val="num" w:pos="2160"/>
        </w:tabs>
        <w:ind w:left="2160" w:hanging="360"/>
      </w:pPr>
    </w:lvl>
    <w:lvl w:ilvl="3" w:tplc="3E42D07A" w:tentative="1">
      <w:start w:val="1"/>
      <w:numFmt w:val="decimal"/>
      <w:lvlText w:val="%4."/>
      <w:lvlJc w:val="left"/>
      <w:pPr>
        <w:tabs>
          <w:tab w:val="num" w:pos="2880"/>
        </w:tabs>
        <w:ind w:left="2880" w:hanging="360"/>
      </w:pPr>
    </w:lvl>
    <w:lvl w:ilvl="4" w:tplc="81A664EC" w:tentative="1">
      <w:start w:val="1"/>
      <w:numFmt w:val="decimal"/>
      <w:lvlText w:val="%5."/>
      <w:lvlJc w:val="left"/>
      <w:pPr>
        <w:tabs>
          <w:tab w:val="num" w:pos="3600"/>
        </w:tabs>
        <w:ind w:left="3600" w:hanging="360"/>
      </w:pPr>
    </w:lvl>
    <w:lvl w:ilvl="5" w:tplc="32F6872E" w:tentative="1">
      <w:start w:val="1"/>
      <w:numFmt w:val="decimal"/>
      <w:lvlText w:val="%6."/>
      <w:lvlJc w:val="left"/>
      <w:pPr>
        <w:tabs>
          <w:tab w:val="num" w:pos="4320"/>
        </w:tabs>
        <w:ind w:left="4320" w:hanging="360"/>
      </w:pPr>
    </w:lvl>
    <w:lvl w:ilvl="6" w:tplc="7EB21024" w:tentative="1">
      <w:start w:val="1"/>
      <w:numFmt w:val="decimal"/>
      <w:lvlText w:val="%7."/>
      <w:lvlJc w:val="left"/>
      <w:pPr>
        <w:tabs>
          <w:tab w:val="num" w:pos="5040"/>
        </w:tabs>
        <w:ind w:left="5040" w:hanging="360"/>
      </w:pPr>
    </w:lvl>
    <w:lvl w:ilvl="7" w:tplc="A5C293B8" w:tentative="1">
      <w:start w:val="1"/>
      <w:numFmt w:val="decimal"/>
      <w:lvlText w:val="%8."/>
      <w:lvlJc w:val="left"/>
      <w:pPr>
        <w:tabs>
          <w:tab w:val="num" w:pos="5760"/>
        </w:tabs>
        <w:ind w:left="5760" w:hanging="360"/>
      </w:pPr>
    </w:lvl>
    <w:lvl w:ilvl="8" w:tplc="789A50DA" w:tentative="1">
      <w:start w:val="1"/>
      <w:numFmt w:val="decimal"/>
      <w:lvlText w:val="%9."/>
      <w:lvlJc w:val="left"/>
      <w:pPr>
        <w:tabs>
          <w:tab w:val="num" w:pos="6480"/>
        </w:tabs>
        <w:ind w:left="6480" w:hanging="360"/>
      </w:pPr>
    </w:lvl>
  </w:abstractNum>
  <w:abstractNum w:abstractNumId="5" w15:restartNumberingAfterBreak="0">
    <w:nsid w:val="35DF7028"/>
    <w:multiLevelType w:val="multilevel"/>
    <w:tmpl w:val="E6B41928"/>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AB219A"/>
    <w:multiLevelType w:val="hybridMultilevel"/>
    <w:tmpl w:val="C3FE9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B085ABC"/>
    <w:multiLevelType w:val="hybridMultilevel"/>
    <w:tmpl w:val="76CCD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8E6BCE"/>
    <w:multiLevelType w:val="hybridMultilevel"/>
    <w:tmpl w:val="81A042B6"/>
    <w:lvl w:ilvl="0" w:tplc="0F0CB8C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A17038"/>
    <w:multiLevelType w:val="multilevel"/>
    <w:tmpl w:val="AE7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01B2B"/>
    <w:multiLevelType w:val="multilevel"/>
    <w:tmpl w:val="4FDE4E94"/>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E52D69"/>
    <w:multiLevelType w:val="hybridMultilevel"/>
    <w:tmpl w:val="67B03114"/>
    <w:lvl w:ilvl="0" w:tplc="FFFFFFFF">
      <w:start w:val="1"/>
      <w:numFmt w:val="decimal"/>
      <w:lvlText w:val="%1."/>
      <w:lvlJc w:val="left"/>
      <w:pPr>
        <w:ind w:left="1068" w:hanging="360"/>
      </w:pPr>
      <w:rPr>
        <w:rFonts w:hint="default"/>
        <w:b/>
        <w:bCs/>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5A1D4610"/>
    <w:multiLevelType w:val="hybridMultilevel"/>
    <w:tmpl w:val="356834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E361108"/>
    <w:multiLevelType w:val="hybridMultilevel"/>
    <w:tmpl w:val="B2BC886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5FF63C28"/>
    <w:multiLevelType w:val="multilevel"/>
    <w:tmpl w:val="674416B0"/>
    <w:lvl w:ilvl="0">
      <w:start w:val="1"/>
      <w:numFmt w:val="decimal"/>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DA61FC"/>
    <w:multiLevelType w:val="hybridMultilevel"/>
    <w:tmpl w:val="E3EC9488"/>
    <w:lvl w:ilvl="0" w:tplc="5010C5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2450735"/>
    <w:multiLevelType w:val="hybridMultilevel"/>
    <w:tmpl w:val="6874C862"/>
    <w:lvl w:ilvl="0" w:tplc="DA7AFC9C">
      <w:start w:val="6"/>
      <w:numFmt w:val="upperRoman"/>
      <w:lvlText w:val="%1."/>
      <w:lvlJc w:val="right"/>
      <w:pPr>
        <w:tabs>
          <w:tab w:val="num" w:pos="720"/>
        </w:tabs>
        <w:ind w:left="720" w:hanging="360"/>
      </w:pPr>
    </w:lvl>
    <w:lvl w:ilvl="1" w:tplc="85F6A5B0" w:tentative="1">
      <w:start w:val="1"/>
      <w:numFmt w:val="decimal"/>
      <w:lvlText w:val="%2."/>
      <w:lvlJc w:val="left"/>
      <w:pPr>
        <w:tabs>
          <w:tab w:val="num" w:pos="1440"/>
        </w:tabs>
        <w:ind w:left="1440" w:hanging="360"/>
      </w:pPr>
    </w:lvl>
    <w:lvl w:ilvl="2" w:tplc="F328F434" w:tentative="1">
      <w:start w:val="1"/>
      <w:numFmt w:val="decimal"/>
      <w:lvlText w:val="%3."/>
      <w:lvlJc w:val="left"/>
      <w:pPr>
        <w:tabs>
          <w:tab w:val="num" w:pos="2160"/>
        </w:tabs>
        <w:ind w:left="2160" w:hanging="360"/>
      </w:pPr>
    </w:lvl>
    <w:lvl w:ilvl="3" w:tplc="1640F3FA" w:tentative="1">
      <w:start w:val="1"/>
      <w:numFmt w:val="decimal"/>
      <w:lvlText w:val="%4."/>
      <w:lvlJc w:val="left"/>
      <w:pPr>
        <w:tabs>
          <w:tab w:val="num" w:pos="2880"/>
        </w:tabs>
        <w:ind w:left="2880" w:hanging="360"/>
      </w:pPr>
    </w:lvl>
    <w:lvl w:ilvl="4" w:tplc="4F9A5356" w:tentative="1">
      <w:start w:val="1"/>
      <w:numFmt w:val="decimal"/>
      <w:lvlText w:val="%5."/>
      <w:lvlJc w:val="left"/>
      <w:pPr>
        <w:tabs>
          <w:tab w:val="num" w:pos="3600"/>
        </w:tabs>
        <w:ind w:left="3600" w:hanging="360"/>
      </w:pPr>
    </w:lvl>
    <w:lvl w:ilvl="5" w:tplc="6610DB78" w:tentative="1">
      <w:start w:val="1"/>
      <w:numFmt w:val="decimal"/>
      <w:lvlText w:val="%6."/>
      <w:lvlJc w:val="left"/>
      <w:pPr>
        <w:tabs>
          <w:tab w:val="num" w:pos="4320"/>
        </w:tabs>
        <w:ind w:left="4320" w:hanging="360"/>
      </w:pPr>
    </w:lvl>
    <w:lvl w:ilvl="6" w:tplc="35205652" w:tentative="1">
      <w:start w:val="1"/>
      <w:numFmt w:val="decimal"/>
      <w:lvlText w:val="%7."/>
      <w:lvlJc w:val="left"/>
      <w:pPr>
        <w:tabs>
          <w:tab w:val="num" w:pos="5040"/>
        </w:tabs>
        <w:ind w:left="5040" w:hanging="360"/>
      </w:pPr>
    </w:lvl>
    <w:lvl w:ilvl="7" w:tplc="E7381632" w:tentative="1">
      <w:start w:val="1"/>
      <w:numFmt w:val="decimal"/>
      <w:lvlText w:val="%8."/>
      <w:lvlJc w:val="left"/>
      <w:pPr>
        <w:tabs>
          <w:tab w:val="num" w:pos="5760"/>
        </w:tabs>
        <w:ind w:left="5760" w:hanging="360"/>
      </w:pPr>
    </w:lvl>
    <w:lvl w:ilvl="8" w:tplc="D60AD8C6" w:tentative="1">
      <w:start w:val="1"/>
      <w:numFmt w:val="decimal"/>
      <w:lvlText w:val="%9."/>
      <w:lvlJc w:val="left"/>
      <w:pPr>
        <w:tabs>
          <w:tab w:val="num" w:pos="6480"/>
        </w:tabs>
        <w:ind w:left="6480" w:hanging="360"/>
      </w:pPr>
    </w:lvl>
  </w:abstractNum>
  <w:abstractNum w:abstractNumId="17" w15:restartNumberingAfterBreak="0">
    <w:nsid w:val="787E5291"/>
    <w:multiLevelType w:val="hybridMultilevel"/>
    <w:tmpl w:val="0F3262BC"/>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6"/>
  </w:num>
  <w:num w:numId="5">
    <w:abstractNumId w:val="9"/>
  </w:num>
  <w:num w:numId="6">
    <w:abstractNumId w:val="4"/>
  </w:num>
  <w:num w:numId="7">
    <w:abstractNumId w:val="0"/>
  </w:num>
  <w:num w:numId="8">
    <w:abstractNumId w:val="17"/>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3"/>
  </w:num>
  <w:num w:numId="16">
    <w:abstractNumId w:val="14"/>
  </w:num>
  <w:num w:numId="17">
    <w:abstractNumId w:val="1"/>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85"/>
    <w:rsid w:val="00021CA8"/>
    <w:rsid w:val="0003135A"/>
    <w:rsid w:val="00036FF5"/>
    <w:rsid w:val="00074EC7"/>
    <w:rsid w:val="00082A5C"/>
    <w:rsid w:val="00083D63"/>
    <w:rsid w:val="00085CBD"/>
    <w:rsid w:val="00091611"/>
    <w:rsid w:val="00092E8C"/>
    <w:rsid w:val="00093ABC"/>
    <w:rsid w:val="000A5B5F"/>
    <w:rsid w:val="000B1BAA"/>
    <w:rsid w:val="000C05A6"/>
    <w:rsid w:val="000C3575"/>
    <w:rsid w:val="000D6AD9"/>
    <w:rsid w:val="000D6D50"/>
    <w:rsid w:val="000F1543"/>
    <w:rsid w:val="0010458F"/>
    <w:rsid w:val="001165D4"/>
    <w:rsid w:val="00135CC6"/>
    <w:rsid w:val="00176193"/>
    <w:rsid w:val="001777DF"/>
    <w:rsid w:val="00184CF8"/>
    <w:rsid w:val="00185503"/>
    <w:rsid w:val="00194E3C"/>
    <w:rsid w:val="001A7ADD"/>
    <w:rsid w:val="001E3FD6"/>
    <w:rsid w:val="001F2B84"/>
    <w:rsid w:val="001F4B81"/>
    <w:rsid w:val="00201B6D"/>
    <w:rsid w:val="00204346"/>
    <w:rsid w:val="002049E8"/>
    <w:rsid w:val="002062D0"/>
    <w:rsid w:val="00207F73"/>
    <w:rsid w:val="002271A3"/>
    <w:rsid w:val="002456BE"/>
    <w:rsid w:val="00251969"/>
    <w:rsid w:val="00260EC1"/>
    <w:rsid w:val="00270941"/>
    <w:rsid w:val="00276A11"/>
    <w:rsid w:val="00285AF7"/>
    <w:rsid w:val="00295F25"/>
    <w:rsid w:val="002A72A3"/>
    <w:rsid w:val="002D4DC8"/>
    <w:rsid w:val="002F4571"/>
    <w:rsid w:val="00324EB7"/>
    <w:rsid w:val="00326376"/>
    <w:rsid w:val="00327798"/>
    <w:rsid w:val="00347A2E"/>
    <w:rsid w:val="00370456"/>
    <w:rsid w:val="003719FB"/>
    <w:rsid w:val="003839D8"/>
    <w:rsid w:val="003A12F5"/>
    <w:rsid w:val="003E7893"/>
    <w:rsid w:val="003F6311"/>
    <w:rsid w:val="0040510D"/>
    <w:rsid w:val="00412606"/>
    <w:rsid w:val="00412763"/>
    <w:rsid w:val="004132CE"/>
    <w:rsid w:val="004136B5"/>
    <w:rsid w:val="00432B71"/>
    <w:rsid w:val="004354C6"/>
    <w:rsid w:val="004443E4"/>
    <w:rsid w:val="00445B88"/>
    <w:rsid w:val="00453D24"/>
    <w:rsid w:val="004C591A"/>
    <w:rsid w:val="004C6B00"/>
    <w:rsid w:val="004D2F50"/>
    <w:rsid w:val="004E0604"/>
    <w:rsid w:val="004E1B05"/>
    <w:rsid w:val="004E1E4B"/>
    <w:rsid w:val="004E4015"/>
    <w:rsid w:val="004F1797"/>
    <w:rsid w:val="005071DE"/>
    <w:rsid w:val="005178CD"/>
    <w:rsid w:val="0052604F"/>
    <w:rsid w:val="00537207"/>
    <w:rsid w:val="0054303E"/>
    <w:rsid w:val="00545DB7"/>
    <w:rsid w:val="00553E76"/>
    <w:rsid w:val="00557C5E"/>
    <w:rsid w:val="00566DAB"/>
    <w:rsid w:val="00573B0B"/>
    <w:rsid w:val="005857A8"/>
    <w:rsid w:val="00596AB8"/>
    <w:rsid w:val="005A53B4"/>
    <w:rsid w:val="005C1072"/>
    <w:rsid w:val="005E5722"/>
    <w:rsid w:val="00611A05"/>
    <w:rsid w:val="00620D10"/>
    <w:rsid w:val="00624F9A"/>
    <w:rsid w:val="00641470"/>
    <w:rsid w:val="00645DBC"/>
    <w:rsid w:val="00656E92"/>
    <w:rsid w:val="006713AE"/>
    <w:rsid w:val="00674781"/>
    <w:rsid w:val="0069206C"/>
    <w:rsid w:val="006A00F7"/>
    <w:rsid w:val="006B5446"/>
    <w:rsid w:val="006D3AA3"/>
    <w:rsid w:val="006E501F"/>
    <w:rsid w:val="00702E00"/>
    <w:rsid w:val="0071420E"/>
    <w:rsid w:val="00714D05"/>
    <w:rsid w:val="007222F5"/>
    <w:rsid w:val="00724E30"/>
    <w:rsid w:val="00731F31"/>
    <w:rsid w:val="0073551C"/>
    <w:rsid w:val="00742C8A"/>
    <w:rsid w:val="0074362C"/>
    <w:rsid w:val="0075407C"/>
    <w:rsid w:val="00760917"/>
    <w:rsid w:val="00780504"/>
    <w:rsid w:val="0078289B"/>
    <w:rsid w:val="007B234D"/>
    <w:rsid w:val="007B480B"/>
    <w:rsid w:val="007B7C07"/>
    <w:rsid w:val="007C3BC9"/>
    <w:rsid w:val="007C3C2C"/>
    <w:rsid w:val="007C5C72"/>
    <w:rsid w:val="007C6937"/>
    <w:rsid w:val="007C7E24"/>
    <w:rsid w:val="007D09CE"/>
    <w:rsid w:val="007E1957"/>
    <w:rsid w:val="00823E0C"/>
    <w:rsid w:val="008273BB"/>
    <w:rsid w:val="00856028"/>
    <w:rsid w:val="008603AE"/>
    <w:rsid w:val="00873136"/>
    <w:rsid w:val="00875C30"/>
    <w:rsid w:val="00885351"/>
    <w:rsid w:val="00886A33"/>
    <w:rsid w:val="008873C5"/>
    <w:rsid w:val="008939FA"/>
    <w:rsid w:val="008A482B"/>
    <w:rsid w:val="008C4223"/>
    <w:rsid w:val="008E10CA"/>
    <w:rsid w:val="008F44DD"/>
    <w:rsid w:val="00902390"/>
    <w:rsid w:val="0091264D"/>
    <w:rsid w:val="0091581B"/>
    <w:rsid w:val="00915E7F"/>
    <w:rsid w:val="00931369"/>
    <w:rsid w:val="00931EB9"/>
    <w:rsid w:val="00935CE2"/>
    <w:rsid w:val="00941D43"/>
    <w:rsid w:val="00942AD4"/>
    <w:rsid w:val="009453AE"/>
    <w:rsid w:val="00952186"/>
    <w:rsid w:val="00973686"/>
    <w:rsid w:val="0097521A"/>
    <w:rsid w:val="00975C43"/>
    <w:rsid w:val="0099685D"/>
    <w:rsid w:val="009A063F"/>
    <w:rsid w:val="009D2017"/>
    <w:rsid w:val="009D6C9C"/>
    <w:rsid w:val="009D7B13"/>
    <w:rsid w:val="009E429A"/>
    <w:rsid w:val="009F0544"/>
    <w:rsid w:val="009F51EA"/>
    <w:rsid w:val="009F7612"/>
    <w:rsid w:val="00A2119E"/>
    <w:rsid w:val="00A26C44"/>
    <w:rsid w:val="00A26F18"/>
    <w:rsid w:val="00A55B1B"/>
    <w:rsid w:val="00A6036A"/>
    <w:rsid w:val="00A65F94"/>
    <w:rsid w:val="00A8183D"/>
    <w:rsid w:val="00A92CFD"/>
    <w:rsid w:val="00AA6B80"/>
    <w:rsid w:val="00AC22EB"/>
    <w:rsid w:val="00AD782D"/>
    <w:rsid w:val="00B0163A"/>
    <w:rsid w:val="00B17F58"/>
    <w:rsid w:val="00B23616"/>
    <w:rsid w:val="00B35B22"/>
    <w:rsid w:val="00B361B2"/>
    <w:rsid w:val="00B522FB"/>
    <w:rsid w:val="00B77513"/>
    <w:rsid w:val="00B77A72"/>
    <w:rsid w:val="00B86EE6"/>
    <w:rsid w:val="00B915D1"/>
    <w:rsid w:val="00B96754"/>
    <w:rsid w:val="00BD062A"/>
    <w:rsid w:val="00BE0919"/>
    <w:rsid w:val="00C12CDC"/>
    <w:rsid w:val="00C16D43"/>
    <w:rsid w:val="00C36BA2"/>
    <w:rsid w:val="00C4240A"/>
    <w:rsid w:val="00C6286D"/>
    <w:rsid w:val="00C74B6F"/>
    <w:rsid w:val="00C80C36"/>
    <w:rsid w:val="00C80ED4"/>
    <w:rsid w:val="00C81A66"/>
    <w:rsid w:val="00C85EFC"/>
    <w:rsid w:val="00CA1B69"/>
    <w:rsid w:val="00CC21FD"/>
    <w:rsid w:val="00CD228B"/>
    <w:rsid w:val="00CD4F3D"/>
    <w:rsid w:val="00CE484A"/>
    <w:rsid w:val="00CF44BE"/>
    <w:rsid w:val="00CF74D0"/>
    <w:rsid w:val="00D05BE6"/>
    <w:rsid w:val="00D063EA"/>
    <w:rsid w:val="00D11858"/>
    <w:rsid w:val="00D2248A"/>
    <w:rsid w:val="00D45212"/>
    <w:rsid w:val="00D70460"/>
    <w:rsid w:val="00D81626"/>
    <w:rsid w:val="00D8460D"/>
    <w:rsid w:val="00DA2729"/>
    <w:rsid w:val="00DA7D10"/>
    <w:rsid w:val="00DD160C"/>
    <w:rsid w:val="00DE5894"/>
    <w:rsid w:val="00DF4D66"/>
    <w:rsid w:val="00E034F5"/>
    <w:rsid w:val="00E214D1"/>
    <w:rsid w:val="00E326DC"/>
    <w:rsid w:val="00E34C67"/>
    <w:rsid w:val="00E42BA1"/>
    <w:rsid w:val="00E57F2C"/>
    <w:rsid w:val="00E6410C"/>
    <w:rsid w:val="00E744E7"/>
    <w:rsid w:val="00E818DA"/>
    <w:rsid w:val="00E957D3"/>
    <w:rsid w:val="00EA6A0D"/>
    <w:rsid w:val="00EB34A8"/>
    <w:rsid w:val="00EC65BE"/>
    <w:rsid w:val="00EE3B13"/>
    <w:rsid w:val="00EF2E00"/>
    <w:rsid w:val="00EF46F6"/>
    <w:rsid w:val="00EF5A1A"/>
    <w:rsid w:val="00F07255"/>
    <w:rsid w:val="00F12F0D"/>
    <w:rsid w:val="00F25182"/>
    <w:rsid w:val="00F33B85"/>
    <w:rsid w:val="00F41557"/>
    <w:rsid w:val="00F67E86"/>
    <w:rsid w:val="00F745B0"/>
    <w:rsid w:val="00F770E4"/>
    <w:rsid w:val="00F84A7A"/>
    <w:rsid w:val="00F96D97"/>
    <w:rsid w:val="00FB4DCF"/>
    <w:rsid w:val="00FD333C"/>
    <w:rsid w:val="00FD4F70"/>
    <w:rsid w:val="00FF3FA0"/>
    <w:rsid w:val="00FF5A5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8AAC4"/>
  <w15:docId w15:val="{6E7B248F-ED0B-45CB-B00C-111DFBC9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937"/>
  </w:style>
  <w:style w:type="paragraph" w:styleId="Ttulo2">
    <w:name w:val="heading 2"/>
    <w:basedOn w:val="Normal"/>
    <w:next w:val="Normal"/>
    <w:link w:val="Ttulo2Car"/>
    <w:uiPriority w:val="9"/>
    <w:unhideWhenUsed/>
    <w:qFormat/>
    <w:rsid w:val="008603AE"/>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paragraph" w:styleId="Ttulo4">
    <w:name w:val="heading 4"/>
    <w:basedOn w:val="Normal"/>
    <w:next w:val="Normal"/>
    <w:link w:val="Ttulo4Car"/>
    <w:uiPriority w:val="9"/>
    <w:semiHidden/>
    <w:unhideWhenUsed/>
    <w:qFormat/>
    <w:rsid w:val="00AD782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B85"/>
    <w:pPr>
      <w:tabs>
        <w:tab w:val="center" w:pos="4419"/>
        <w:tab w:val="right" w:pos="8838"/>
      </w:tabs>
    </w:pPr>
  </w:style>
  <w:style w:type="character" w:customStyle="1" w:styleId="EncabezadoCar">
    <w:name w:val="Encabezado Car"/>
    <w:basedOn w:val="Fuentedeprrafopredeter"/>
    <w:link w:val="Encabezado"/>
    <w:uiPriority w:val="99"/>
    <w:rsid w:val="00F33B85"/>
  </w:style>
  <w:style w:type="paragraph" w:styleId="Piedepgina">
    <w:name w:val="footer"/>
    <w:basedOn w:val="Normal"/>
    <w:link w:val="PiedepginaCar"/>
    <w:uiPriority w:val="99"/>
    <w:unhideWhenUsed/>
    <w:rsid w:val="00F33B85"/>
    <w:pPr>
      <w:tabs>
        <w:tab w:val="center" w:pos="4419"/>
        <w:tab w:val="right" w:pos="8838"/>
      </w:tabs>
    </w:pPr>
  </w:style>
  <w:style w:type="character" w:customStyle="1" w:styleId="PiedepginaCar">
    <w:name w:val="Pie de página Car"/>
    <w:basedOn w:val="Fuentedeprrafopredeter"/>
    <w:link w:val="Piedepgina"/>
    <w:uiPriority w:val="99"/>
    <w:rsid w:val="00F33B85"/>
  </w:style>
  <w:style w:type="character" w:customStyle="1" w:styleId="Ttulo2Car">
    <w:name w:val="Título 2 Car"/>
    <w:basedOn w:val="Fuentedeprrafopredeter"/>
    <w:link w:val="Ttulo2"/>
    <w:uiPriority w:val="9"/>
    <w:rsid w:val="008603AE"/>
    <w:rPr>
      <w:rFonts w:asciiTheme="majorHAnsi" w:eastAsiaTheme="majorEastAsia" w:hAnsiTheme="majorHAnsi" w:cstheme="majorBidi"/>
      <w:color w:val="2F5496" w:themeColor="accent1" w:themeShade="BF"/>
      <w:sz w:val="26"/>
      <w:szCs w:val="26"/>
      <w:lang w:val="en-US" w:eastAsia="es-CO"/>
    </w:rPr>
  </w:style>
  <w:style w:type="character" w:styleId="Refdenotaalpie">
    <w:name w:val="footnote reference"/>
    <w:basedOn w:val="Fuentedeprrafopredeter"/>
    <w:uiPriority w:val="99"/>
    <w:semiHidden/>
    <w:unhideWhenUsed/>
    <w:rsid w:val="008603AE"/>
    <w:rPr>
      <w:vertAlign w:val="superscript"/>
    </w:rPr>
  </w:style>
  <w:style w:type="paragraph" w:styleId="Sinespaciado">
    <w:name w:val="No Spacing"/>
    <w:uiPriority w:val="1"/>
    <w:qFormat/>
    <w:rsid w:val="008603AE"/>
    <w:rPr>
      <w:sz w:val="22"/>
      <w:szCs w:val="22"/>
    </w:rPr>
  </w:style>
  <w:style w:type="paragraph" w:styleId="Textodeglobo">
    <w:name w:val="Balloon Text"/>
    <w:basedOn w:val="Normal"/>
    <w:link w:val="TextodegloboCar"/>
    <w:uiPriority w:val="99"/>
    <w:semiHidden/>
    <w:unhideWhenUsed/>
    <w:rsid w:val="008603A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03AE"/>
    <w:rPr>
      <w:rFonts w:ascii="Lucida Grande" w:hAnsi="Lucida Grande" w:cs="Lucida Grande"/>
      <w:sz w:val="18"/>
      <w:szCs w:val="18"/>
    </w:rPr>
  </w:style>
  <w:style w:type="paragraph" w:styleId="NormalWeb">
    <w:name w:val="Normal (Web)"/>
    <w:basedOn w:val="Normal"/>
    <w:uiPriority w:val="99"/>
    <w:unhideWhenUsed/>
    <w:rsid w:val="00EF2E00"/>
    <w:pPr>
      <w:spacing w:before="100" w:beforeAutospacing="1" w:after="100" w:afterAutospacing="1"/>
    </w:pPr>
    <w:rPr>
      <w:rFonts w:ascii="Times New Roman" w:hAnsi="Times New Roman" w:cs="Times New Roman"/>
      <w:sz w:val="20"/>
      <w:szCs w:val="20"/>
      <w:lang w:eastAsia="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55B1B"/>
    <w:pPr>
      <w:ind w:left="720"/>
      <w:contextualSpacing/>
    </w:pPr>
  </w:style>
  <w:style w:type="paragraph" w:styleId="Textonotapie">
    <w:name w:val="footnote text"/>
    <w:basedOn w:val="Normal"/>
    <w:link w:val="TextonotapieCar"/>
    <w:uiPriority w:val="99"/>
    <w:semiHidden/>
    <w:unhideWhenUsed/>
    <w:rsid w:val="00A65F94"/>
    <w:rPr>
      <w:sz w:val="20"/>
      <w:szCs w:val="20"/>
    </w:rPr>
  </w:style>
  <w:style w:type="character" w:customStyle="1" w:styleId="TextonotapieCar">
    <w:name w:val="Texto nota pie Car"/>
    <w:basedOn w:val="Fuentedeprrafopredeter"/>
    <w:link w:val="Textonotapie"/>
    <w:uiPriority w:val="99"/>
    <w:semiHidden/>
    <w:rsid w:val="00A65F94"/>
    <w:rPr>
      <w:sz w:val="20"/>
      <w:szCs w:val="20"/>
    </w:rPr>
  </w:style>
  <w:style w:type="paragraph" w:styleId="Textonotaalfinal">
    <w:name w:val="endnote text"/>
    <w:basedOn w:val="Normal"/>
    <w:link w:val="TextonotaalfinalCar"/>
    <w:uiPriority w:val="99"/>
    <w:semiHidden/>
    <w:unhideWhenUsed/>
    <w:rsid w:val="00B17F58"/>
    <w:rPr>
      <w:sz w:val="20"/>
      <w:szCs w:val="20"/>
    </w:rPr>
  </w:style>
  <w:style w:type="character" w:customStyle="1" w:styleId="TextonotaalfinalCar">
    <w:name w:val="Texto nota al final Car"/>
    <w:basedOn w:val="Fuentedeprrafopredeter"/>
    <w:link w:val="Textonotaalfinal"/>
    <w:uiPriority w:val="99"/>
    <w:semiHidden/>
    <w:rsid w:val="00B17F58"/>
    <w:rPr>
      <w:sz w:val="20"/>
      <w:szCs w:val="20"/>
    </w:rPr>
  </w:style>
  <w:style w:type="character" w:styleId="Refdenotaalfinal">
    <w:name w:val="endnote reference"/>
    <w:basedOn w:val="Fuentedeprrafopredeter"/>
    <w:uiPriority w:val="99"/>
    <w:semiHidden/>
    <w:unhideWhenUsed/>
    <w:rsid w:val="00B17F58"/>
    <w:rPr>
      <w:vertAlign w:val="superscript"/>
    </w:rPr>
  </w:style>
  <w:style w:type="character" w:styleId="Refdecomentario">
    <w:name w:val="annotation reference"/>
    <w:basedOn w:val="Fuentedeprrafopredeter"/>
    <w:uiPriority w:val="99"/>
    <w:semiHidden/>
    <w:unhideWhenUsed/>
    <w:rsid w:val="00C6286D"/>
    <w:rPr>
      <w:sz w:val="16"/>
      <w:szCs w:val="16"/>
    </w:rPr>
  </w:style>
  <w:style w:type="paragraph" w:styleId="Textocomentario">
    <w:name w:val="annotation text"/>
    <w:basedOn w:val="Normal"/>
    <w:link w:val="TextocomentarioCar"/>
    <w:uiPriority w:val="99"/>
    <w:semiHidden/>
    <w:unhideWhenUsed/>
    <w:rsid w:val="00C6286D"/>
    <w:rPr>
      <w:sz w:val="20"/>
      <w:szCs w:val="20"/>
    </w:rPr>
  </w:style>
  <w:style w:type="character" w:customStyle="1" w:styleId="TextocomentarioCar">
    <w:name w:val="Texto comentario Car"/>
    <w:basedOn w:val="Fuentedeprrafopredeter"/>
    <w:link w:val="Textocomentario"/>
    <w:uiPriority w:val="99"/>
    <w:semiHidden/>
    <w:rsid w:val="00C6286D"/>
    <w:rPr>
      <w:sz w:val="20"/>
      <w:szCs w:val="20"/>
    </w:rPr>
  </w:style>
  <w:style w:type="paragraph" w:styleId="Asuntodelcomentario">
    <w:name w:val="annotation subject"/>
    <w:basedOn w:val="Textocomentario"/>
    <w:next w:val="Textocomentario"/>
    <w:link w:val="AsuntodelcomentarioCar"/>
    <w:uiPriority w:val="99"/>
    <w:semiHidden/>
    <w:unhideWhenUsed/>
    <w:rsid w:val="00C6286D"/>
    <w:rPr>
      <w:b/>
      <w:bCs/>
    </w:rPr>
  </w:style>
  <w:style w:type="character" w:customStyle="1" w:styleId="AsuntodelcomentarioCar">
    <w:name w:val="Asunto del comentario Car"/>
    <w:basedOn w:val="TextocomentarioCar"/>
    <w:link w:val="Asuntodelcomentario"/>
    <w:uiPriority w:val="99"/>
    <w:semiHidden/>
    <w:rsid w:val="00C6286D"/>
    <w:rPr>
      <w:b/>
      <w:bCs/>
      <w:sz w:val="20"/>
      <w:szCs w:val="20"/>
    </w:rPr>
  </w:style>
  <w:style w:type="paragraph" w:styleId="Revisin">
    <w:name w:val="Revision"/>
    <w:hidden/>
    <w:uiPriority w:val="99"/>
    <w:semiHidden/>
    <w:rsid w:val="00AA6B80"/>
  </w:style>
  <w:style w:type="character" w:styleId="Hipervnculo">
    <w:name w:val="Hyperlink"/>
    <w:basedOn w:val="Fuentedeprrafopredeter"/>
    <w:uiPriority w:val="99"/>
    <w:unhideWhenUsed/>
    <w:rsid w:val="00553E76"/>
    <w:rPr>
      <w:color w:val="0000FF"/>
      <w:u w:val="single"/>
    </w:rPr>
  </w:style>
  <w:style w:type="character" w:styleId="Textoennegrita">
    <w:name w:val="Strong"/>
    <w:basedOn w:val="Fuentedeprrafopredeter"/>
    <w:uiPriority w:val="22"/>
    <w:qFormat/>
    <w:rsid w:val="00545DB7"/>
    <w:rPr>
      <w:b/>
      <w:bCs/>
    </w:rPr>
  </w:style>
  <w:style w:type="character" w:customStyle="1" w:styleId="Ttulo4Car">
    <w:name w:val="Título 4 Car"/>
    <w:basedOn w:val="Fuentedeprrafopredeter"/>
    <w:link w:val="Ttulo4"/>
    <w:uiPriority w:val="9"/>
    <w:semiHidden/>
    <w:rsid w:val="00AD782D"/>
    <w:rPr>
      <w:rFonts w:asciiTheme="majorHAnsi" w:eastAsiaTheme="majorEastAsia" w:hAnsiTheme="majorHAnsi" w:cstheme="majorBidi"/>
      <w:i/>
      <w:iCs/>
      <w:color w:val="2F5496" w:themeColor="accent1" w:themeShade="BF"/>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F07255"/>
  </w:style>
  <w:style w:type="paragraph" w:customStyle="1" w:styleId="cuadrculamedia1-nfasis21">
    <w:name w:val="cuadrculamedia1-nfasis21"/>
    <w:basedOn w:val="Normal"/>
    <w:uiPriority w:val="99"/>
    <w:semiHidden/>
    <w:rsid w:val="00F07255"/>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541">
      <w:bodyDiv w:val="1"/>
      <w:marLeft w:val="0"/>
      <w:marRight w:val="0"/>
      <w:marTop w:val="0"/>
      <w:marBottom w:val="0"/>
      <w:divBdr>
        <w:top w:val="none" w:sz="0" w:space="0" w:color="auto"/>
        <w:left w:val="none" w:sz="0" w:space="0" w:color="auto"/>
        <w:bottom w:val="none" w:sz="0" w:space="0" w:color="auto"/>
        <w:right w:val="none" w:sz="0" w:space="0" w:color="auto"/>
      </w:divBdr>
      <w:divsChild>
        <w:div w:id="1943948351">
          <w:marLeft w:val="0"/>
          <w:marRight w:val="0"/>
          <w:marTop w:val="15"/>
          <w:marBottom w:val="0"/>
          <w:divBdr>
            <w:top w:val="single" w:sz="48" w:space="0" w:color="auto"/>
            <w:left w:val="single" w:sz="48" w:space="0" w:color="auto"/>
            <w:bottom w:val="single" w:sz="48" w:space="0" w:color="auto"/>
            <w:right w:val="single" w:sz="48" w:space="0" w:color="auto"/>
          </w:divBdr>
          <w:divsChild>
            <w:div w:id="1227110243">
              <w:marLeft w:val="0"/>
              <w:marRight w:val="0"/>
              <w:marTop w:val="0"/>
              <w:marBottom w:val="0"/>
              <w:divBdr>
                <w:top w:val="none" w:sz="0" w:space="0" w:color="auto"/>
                <w:left w:val="none" w:sz="0" w:space="0" w:color="auto"/>
                <w:bottom w:val="none" w:sz="0" w:space="0" w:color="auto"/>
                <w:right w:val="none" w:sz="0" w:space="0" w:color="auto"/>
              </w:divBdr>
              <w:divsChild>
                <w:div w:id="1052970202">
                  <w:marLeft w:val="0"/>
                  <w:marRight w:val="0"/>
                  <w:marTop w:val="0"/>
                  <w:marBottom w:val="0"/>
                  <w:divBdr>
                    <w:top w:val="none" w:sz="0" w:space="0" w:color="auto"/>
                    <w:left w:val="none" w:sz="0" w:space="0" w:color="auto"/>
                    <w:bottom w:val="none" w:sz="0" w:space="0" w:color="auto"/>
                    <w:right w:val="none" w:sz="0" w:space="0" w:color="auto"/>
                  </w:divBdr>
                </w:div>
                <w:div w:id="202596177">
                  <w:marLeft w:val="0"/>
                  <w:marRight w:val="0"/>
                  <w:marTop w:val="0"/>
                  <w:marBottom w:val="0"/>
                  <w:divBdr>
                    <w:top w:val="none" w:sz="0" w:space="0" w:color="auto"/>
                    <w:left w:val="none" w:sz="0" w:space="0" w:color="auto"/>
                    <w:bottom w:val="none" w:sz="0" w:space="0" w:color="auto"/>
                    <w:right w:val="none" w:sz="0" w:space="0" w:color="auto"/>
                  </w:divBdr>
                </w:div>
                <w:div w:id="1047685053">
                  <w:marLeft w:val="0"/>
                  <w:marRight w:val="0"/>
                  <w:marTop w:val="0"/>
                  <w:marBottom w:val="0"/>
                  <w:divBdr>
                    <w:top w:val="none" w:sz="0" w:space="0" w:color="auto"/>
                    <w:left w:val="none" w:sz="0" w:space="0" w:color="auto"/>
                    <w:bottom w:val="none" w:sz="0" w:space="0" w:color="auto"/>
                    <w:right w:val="none" w:sz="0" w:space="0" w:color="auto"/>
                  </w:divBdr>
                </w:div>
                <w:div w:id="1982729233">
                  <w:marLeft w:val="0"/>
                  <w:marRight w:val="0"/>
                  <w:marTop w:val="0"/>
                  <w:marBottom w:val="0"/>
                  <w:divBdr>
                    <w:top w:val="none" w:sz="0" w:space="0" w:color="auto"/>
                    <w:left w:val="none" w:sz="0" w:space="0" w:color="auto"/>
                    <w:bottom w:val="none" w:sz="0" w:space="0" w:color="auto"/>
                    <w:right w:val="none" w:sz="0" w:space="0" w:color="auto"/>
                  </w:divBdr>
                </w:div>
                <w:div w:id="1796750829">
                  <w:marLeft w:val="0"/>
                  <w:marRight w:val="0"/>
                  <w:marTop w:val="0"/>
                  <w:marBottom w:val="0"/>
                  <w:divBdr>
                    <w:top w:val="none" w:sz="0" w:space="0" w:color="auto"/>
                    <w:left w:val="none" w:sz="0" w:space="0" w:color="auto"/>
                    <w:bottom w:val="none" w:sz="0" w:space="0" w:color="auto"/>
                    <w:right w:val="none" w:sz="0" w:space="0" w:color="auto"/>
                  </w:divBdr>
                </w:div>
                <w:div w:id="14486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917">
      <w:bodyDiv w:val="1"/>
      <w:marLeft w:val="0"/>
      <w:marRight w:val="0"/>
      <w:marTop w:val="0"/>
      <w:marBottom w:val="0"/>
      <w:divBdr>
        <w:top w:val="none" w:sz="0" w:space="0" w:color="auto"/>
        <w:left w:val="none" w:sz="0" w:space="0" w:color="auto"/>
        <w:bottom w:val="none" w:sz="0" w:space="0" w:color="auto"/>
        <w:right w:val="none" w:sz="0" w:space="0" w:color="auto"/>
      </w:divBdr>
      <w:divsChild>
        <w:div w:id="1787625582">
          <w:marLeft w:val="0"/>
          <w:marRight w:val="0"/>
          <w:marTop w:val="15"/>
          <w:marBottom w:val="0"/>
          <w:divBdr>
            <w:top w:val="single" w:sz="48" w:space="0" w:color="auto"/>
            <w:left w:val="single" w:sz="48" w:space="0" w:color="auto"/>
            <w:bottom w:val="single" w:sz="48" w:space="0" w:color="auto"/>
            <w:right w:val="single" w:sz="48" w:space="0" w:color="auto"/>
          </w:divBdr>
          <w:divsChild>
            <w:div w:id="1156922835">
              <w:marLeft w:val="0"/>
              <w:marRight w:val="0"/>
              <w:marTop w:val="0"/>
              <w:marBottom w:val="0"/>
              <w:divBdr>
                <w:top w:val="none" w:sz="0" w:space="0" w:color="auto"/>
                <w:left w:val="none" w:sz="0" w:space="0" w:color="auto"/>
                <w:bottom w:val="none" w:sz="0" w:space="0" w:color="auto"/>
                <w:right w:val="none" w:sz="0" w:space="0" w:color="auto"/>
              </w:divBdr>
              <w:divsChild>
                <w:div w:id="1196968931">
                  <w:marLeft w:val="0"/>
                  <w:marRight w:val="0"/>
                  <w:marTop w:val="0"/>
                  <w:marBottom w:val="0"/>
                  <w:divBdr>
                    <w:top w:val="none" w:sz="0" w:space="0" w:color="auto"/>
                    <w:left w:val="none" w:sz="0" w:space="0" w:color="auto"/>
                    <w:bottom w:val="none" w:sz="0" w:space="0" w:color="auto"/>
                    <w:right w:val="none" w:sz="0" w:space="0" w:color="auto"/>
                  </w:divBdr>
                </w:div>
                <w:div w:id="1940331271">
                  <w:marLeft w:val="0"/>
                  <w:marRight w:val="0"/>
                  <w:marTop w:val="0"/>
                  <w:marBottom w:val="0"/>
                  <w:divBdr>
                    <w:top w:val="none" w:sz="0" w:space="0" w:color="auto"/>
                    <w:left w:val="none" w:sz="0" w:space="0" w:color="auto"/>
                    <w:bottom w:val="none" w:sz="0" w:space="0" w:color="auto"/>
                    <w:right w:val="none" w:sz="0" w:space="0" w:color="auto"/>
                  </w:divBdr>
                </w:div>
                <w:div w:id="1499803109">
                  <w:marLeft w:val="0"/>
                  <w:marRight w:val="0"/>
                  <w:marTop w:val="0"/>
                  <w:marBottom w:val="0"/>
                  <w:divBdr>
                    <w:top w:val="none" w:sz="0" w:space="0" w:color="auto"/>
                    <w:left w:val="none" w:sz="0" w:space="0" w:color="auto"/>
                    <w:bottom w:val="none" w:sz="0" w:space="0" w:color="auto"/>
                    <w:right w:val="none" w:sz="0" w:space="0" w:color="auto"/>
                  </w:divBdr>
                </w:div>
                <w:div w:id="1294368501">
                  <w:marLeft w:val="0"/>
                  <w:marRight w:val="0"/>
                  <w:marTop w:val="0"/>
                  <w:marBottom w:val="0"/>
                  <w:divBdr>
                    <w:top w:val="none" w:sz="0" w:space="0" w:color="auto"/>
                    <w:left w:val="none" w:sz="0" w:space="0" w:color="auto"/>
                    <w:bottom w:val="none" w:sz="0" w:space="0" w:color="auto"/>
                    <w:right w:val="none" w:sz="0" w:space="0" w:color="auto"/>
                  </w:divBdr>
                </w:div>
                <w:div w:id="647633190">
                  <w:marLeft w:val="0"/>
                  <w:marRight w:val="0"/>
                  <w:marTop w:val="0"/>
                  <w:marBottom w:val="0"/>
                  <w:divBdr>
                    <w:top w:val="none" w:sz="0" w:space="0" w:color="auto"/>
                    <w:left w:val="none" w:sz="0" w:space="0" w:color="auto"/>
                    <w:bottom w:val="none" w:sz="0" w:space="0" w:color="auto"/>
                    <w:right w:val="none" w:sz="0" w:space="0" w:color="auto"/>
                  </w:divBdr>
                </w:div>
                <w:div w:id="11526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9247">
      <w:bodyDiv w:val="1"/>
      <w:marLeft w:val="0"/>
      <w:marRight w:val="0"/>
      <w:marTop w:val="0"/>
      <w:marBottom w:val="0"/>
      <w:divBdr>
        <w:top w:val="none" w:sz="0" w:space="0" w:color="auto"/>
        <w:left w:val="none" w:sz="0" w:space="0" w:color="auto"/>
        <w:bottom w:val="none" w:sz="0" w:space="0" w:color="auto"/>
        <w:right w:val="none" w:sz="0" w:space="0" w:color="auto"/>
      </w:divBdr>
    </w:div>
    <w:div w:id="304818305">
      <w:bodyDiv w:val="1"/>
      <w:marLeft w:val="0"/>
      <w:marRight w:val="0"/>
      <w:marTop w:val="0"/>
      <w:marBottom w:val="0"/>
      <w:divBdr>
        <w:top w:val="none" w:sz="0" w:space="0" w:color="auto"/>
        <w:left w:val="none" w:sz="0" w:space="0" w:color="auto"/>
        <w:bottom w:val="none" w:sz="0" w:space="0" w:color="auto"/>
        <w:right w:val="none" w:sz="0" w:space="0" w:color="auto"/>
      </w:divBdr>
    </w:div>
    <w:div w:id="326708906">
      <w:bodyDiv w:val="1"/>
      <w:marLeft w:val="0"/>
      <w:marRight w:val="0"/>
      <w:marTop w:val="0"/>
      <w:marBottom w:val="0"/>
      <w:divBdr>
        <w:top w:val="none" w:sz="0" w:space="0" w:color="auto"/>
        <w:left w:val="none" w:sz="0" w:space="0" w:color="auto"/>
        <w:bottom w:val="none" w:sz="0" w:space="0" w:color="auto"/>
        <w:right w:val="none" w:sz="0" w:space="0" w:color="auto"/>
      </w:divBdr>
    </w:div>
    <w:div w:id="347368364">
      <w:bodyDiv w:val="1"/>
      <w:marLeft w:val="0"/>
      <w:marRight w:val="0"/>
      <w:marTop w:val="0"/>
      <w:marBottom w:val="0"/>
      <w:divBdr>
        <w:top w:val="none" w:sz="0" w:space="0" w:color="auto"/>
        <w:left w:val="none" w:sz="0" w:space="0" w:color="auto"/>
        <w:bottom w:val="none" w:sz="0" w:space="0" w:color="auto"/>
        <w:right w:val="none" w:sz="0" w:space="0" w:color="auto"/>
      </w:divBdr>
      <w:divsChild>
        <w:div w:id="1692562473">
          <w:marLeft w:val="300"/>
          <w:marRight w:val="0"/>
          <w:marTop w:val="345"/>
          <w:marBottom w:val="0"/>
          <w:divBdr>
            <w:top w:val="none" w:sz="0" w:space="0" w:color="auto"/>
            <w:left w:val="none" w:sz="0" w:space="0" w:color="auto"/>
            <w:bottom w:val="none" w:sz="0" w:space="0" w:color="auto"/>
            <w:right w:val="none" w:sz="0" w:space="0" w:color="auto"/>
          </w:divBdr>
        </w:div>
        <w:div w:id="2126852523">
          <w:marLeft w:val="0"/>
          <w:marRight w:val="300"/>
          <w:marTop w:val="225"/>
          <w:marBottom w:val="225"/>
          <w:divBdr>
            <w:top w:val="none" w:sz="0" w:space="0" w:color="auto"/>
            <w:left w:val="none" w:sz="0" w:space="0" w:color="auto"/>
            <w:bottom w:val="none" w:sz="0" w:space="0" w:color="auto"/>
            <w:right w:val="none" w:sz="0" w:space="0" w:color="auto"/>
          </w:divBdr>
        </w:div>
      </w:divsChild>
    </w:div>
    <w:div w:id="371227108">
      <w:bodyDiv w:val="1"/>
      <w:marLeft w:val="0"/>
      <w:marRight w:val="0"/>
      <w:marTop w:val="0"/>
      <w:marBottom w:val="0"/>
      <w:divBdr>
        <w:top w:val="none" w:sz="0" w:space="0" w:color="auto"/>
        <w:left w:val="none" w:sz="0" w:space="0" w:color="auto"/>
        <w:bottom w:val="none" w:sz="0" w:space="0" w:color="auto"/>
        <w:right w:val="none" w:sz="0" w:space="0" w:color="auto"/>
      </w:divBdr>
      <w:divsChild>
        <w:div w:id="76631383">
          <w:marLeft w:val="0"/>
          <w:marRight w:val="0"/>
          <w:marTop w:val="0"/>
          <w:marBottom w:val="0"/>
          <w:divBdr>
            <w:top w:val="none" w:sz="0" w:space="0" w:color="auto"/>
            <w:left w:val="none" w:sz="0" w:space="0" w:color="auto"/>
            <w:bottom w:val="none" w:sz="0" w:space="0" w:color="auto"/>
            <w:right w:val="none" w:sz="0" w:space="0" w:color="auto"/>
          </w:divBdr>
        </w:div>
        <w:div w:id="388500472">
          <w:marLeft w:val="0"/>
          <w:marRight w:val="0"/>
          <w:marTop w:val="0"/>
          <w:marBottom w:val="0"/>
          <w:divBdr>
            <w:top w:val="none" w:sz="0" w:space="0" w:color="auto"/>
            <w:left w:val="none" w:sz="0" w:space="0" w:color="auto"/>
            <w:bottom w:val="none" w:sz="0" w:space="0" w:color="auto"/>
            <w:right w:val="none" w:sz="0" w:space="0" w:color="auto"/>
          </w:divBdr>
        </w:div>
        <w:div w:id="816264802">
          <w:marLeft w:val="0"/>
          <w:marRight w:val="0"/>
          <w:marTop w:val="0"/>
          <w:marBottom w:val="0"/>
          <w:divBdr>
            <w:top w:val="none" w:sz="0" w:space="0" w:color="auto"/>
            <w:left w:val="none" w:sz="0" w:space="0" w:color="auto"/>
            <w:bottom w:val="none" w:sz="0" w:space="0" w:color="auto"/>
            <w:right w:val="none" w:sz="0" w:space="0" w:color="auto"/>
          </w:divBdr>
        </w:div>
        <w:div w:id="1951936028">
          <w:marLeft w:val="0"/>
          <w:marRight w:val="0"/>
          <w:marTop w:val="0"/>
          <w:marBottom w:val="0"/>
          <w:divBdr>
            <w:top w:val="none" w:sz="0" w:space="0" w:color="auto"/>
            <w:left w:val="none" w:sz="0" w:space="0" w:color="auto"/>
            <w:bottom w:val="none" w:sz="0" w:space="0" w:color="auto"/>
            <w:right w:val="none" w:sz="0" w:space="0" w:color="auto"/>
          </w:divBdr>
        </w:div>
        <w:div w:id="212035995">
          <w:marLeft w:val="0"/>
          <w:marRight w:val="0"/>
          <w:marTop w:val="0"/>
          <w:marBottom w:val="0"/>
          <w:divBdr>
            <w:top w:val="none" w:sz="0" w:space="0" w:color="auto"/>
            <w:left w:val="none" w:sz="0" w:space="0" w:color="auto"/>
            <w:bottom w:val="none" w:sz="0" w:space="0" w:color="auto"/>
            <w:right w:val="none" w:sz="0" w:space="0" w:color="auto"/>
          </w:divBdr>
        </w:div>
      </w:divsChild>
    </w:div>
    <w:div w:id="479269537">
      <w:bodyDiv w:val="1"/>
      <w:marLeft w:val="0"/>
      <w:marRight w:val="0"/>
      <w:marTop w:val="0"/>
      <w:marBottom w:val="0"/>
      <w:divBdr>
        <w:top w:val="none" w:sz="0" w:space="0" w:color="auto"/>
        <w:left w:val="none" w:sz="0" w:space="0" w:color="auto"/>
        <w:bottom w:val="none" w:sz="0" w:space="0" w:color="auto"/>
        <w:right w:val="none" w:sz="0" w:space="0" w:color="auto"/>
      </w:divBdr>
    </w:div>
    <w:div w:id="588001622">
      <w:bodyDiv w:val="1"/>
      <w:marLeft w:val="0"/>
      <w:marRight w:val="0"/>
      <w:marTop w:val="0"/>
      <w:marBottom w:val="0"/>
      <w:divBdr>
        <w:top w:val="none" w:sz="0" w:space="0" w:color="auto"/>
        <w:left w:val="none" w:sz="0" w:space="0" w:color="auto"/>
        <w:bottom w:val="none" w:sz="0" w:space="0" w:color="auto"/>
        <w:right w:val="none" w:sz="0" w:space="0" w:color="auto"/>
      </w:divBdr>
    </w:div>
    <w:div w:id="746922036">
      <w:bodyDiv w:val="1"/>
      <w:marLeft w:val="0"/>
      <w:marRight w:val="0"/>
      <w:marTop w:val="0"/>
      <w:marBottom w:val="0"/>
      <w:divBdr>
        <w:top w:val="none" w:sz="0" w:space="0" w:color="auto"/>
        <w:left w:val="none" w:sz="0" w:space="0" w:color="auto"/>
        <w:bottom w:val="none" w:sz="0" w:space="0" w:color="auto"/>
        <w:right w:val="none" w:sz="0" w:space="0" w:color="auto"/>
      </w:divBdr>
    </w:div>
    <w:div w:id="807086185">
      <w:bodyDiv w:val="1"/>
      <w:marLeft w:val="0"/>
      <w:marRight w:val="0"/>
      <w:marTop w:val="0"/>
      <w:marBottom w:val="0"/>
      <w:divBdr>
        <w:top w:val="none" w:sz="0" w:space="0" w:color="auto"/>
        <w:left w:val="none" w:sz="0" w:space="0" w:color="auto"/>
        <w:bottom w:val="none" w:sz="0" w:space="0" w:color="auto"/>
        <w:right w:val="none" w:sz="0" w:space="0" w:color="auto"/>
      </w:divBdr>
    </w:div>
    <w:div w:id="876891723">
      <w:bodyDiv w:val="1"/>
      <w:marLeft w:val="0"/>
      <w:marRight w:val="0"/>
      <w:marTop w:val="0"/>
      <w:marBottom w:val="0"/>
      <w:divBdr>
        <w:top w:val="none" w:sz="0" w:space="0" w:color="auto"/>
        <w:left w:val="none" w:sz="0" w:space="0" w:color="auto"/>
        <w:bottom w:val="none" w:sz="0" w:space="0" w:color="auto"/>
        <w:right w:val="none" w:sz="0" w:space="0" w:color="auto"/>
      </w:divBdr>
    </w:div>
    <w:div w:id="1005205904">
      <w:bodyDiv w:val="1"/>
      <w:marLeft w:val="0"/>
      <w:marRight w:val="0"/>
      <w:marTop w:val="0"/>
      <w:marBottom w:val="0"/>
      <w:divBdr>
        <w:top w:val="none" w:sz="0" w:space="0" w:color="auto"/>
        <w:left w:val="none" w:sz="0" w:space="0" w:color="auto"/>
        <w:bottom w:val="none" w:sz="0" w:space="0" w:color="auto"/>
        <w:right w:val="none" w:sz="0" w:space="0" w:color="auto"/>
      </w:divBdr>
    </w:div>
    <w:div w:id="1238126197">
      <w:bodyDiv w:val="1"/>
      <w:marLeft w:val="0"/>
      <w:marRight w:val="0"/>
      <w:marTop w:val="0"/>
      <w:marBottom w:val="0"/>
      <w:divBdr>
        <w:top w:val="none" w:sz="0" w:space="0" w:color="auto"/>
        <w:left w:val="none" w:sz="0" w:space="0" w:color="auto"/>
        <w:bottom w:val="none" w:sz="0" w:space="0" w:color="auto"/>
        <w:right w:val="none" w:sz="0" w:space="0" w:color="auto"/>
      </w:divBdr>
    </w:div>
    <w:div w:id="1363479742">
      <w:bodyDiv w:val="1"/>
      <w:marLeft w:val="0"/>
      <w:marRight w:val="0"/>
      <w:marTop w:val="0"/>
      <w:marBottom w:val="0"/>
      <w:divBdr>
        <w:top w:val="none" w:sz="0" w:space="0" w:color="auto"/>
        <w:left w:val="none" w:sz="0" w:space="0" w:color="auto"/>
        <w:bottom w:val="none" w:sz="0" w:space="0" w:color="auto"/>
        <w:right w:val="none" w:sz="0" w:space="0" w:color="auto"/>
      </w:divBdr>
    </w:div>
    <w:div w:id="1368334961">
      <w:bodyDiv w:val="1"/>
      <w:marLeft w:val="0"/>
      <w:marRight w:val="0"/>
      <w:marTop w:val="0"/>
      <w:marBottom w:val="0"/>
      <w:divBdr>
        <w:top w:val="none" w:sz="0" w:space="0" w:color="auto"/>
        <w:left w:val="none" w:sz="0" w:space="0" w:color="auto"/>
        <w:bottom w:val="none" w:sz="0" w:space="0" w:color="auto"/>
        <w:right w:val="none" w:sz="0" w:space="0" w:color="auto"/>
      </w:divBdr>
    </w:div>
    <w:div w:id="1378163936">
      <w:bodyDiv w:val="1"/>
      <w:marLeft w:val="0"/>
      <w:marRight w:val="0"/>
      <w:marTop w:val="0"/>
      <w:marBottom w:val="0"/>
      <w:divBdr>
        <w:top w:val="none" w:sz="0" w:space="0" w:color="auto"/>
        <w:left w:val="none" w:sz="0" w:space="0" w:color="auto"/>
        <w:bottom w:val="none" w:sz="0" w:space="0" w:color="auto"/>
        <w:right w:val="none" w:sz="0" w:space="0" w:color="auto"/>
      </w:divBdr>
      <w:divsChild>
        <w:div w:id="524371391">
          <w:marLeft w:val="0"/>
          <w:marRight w:val="0"/>
          <w:marTop w:val="15"/>
          <w:marBottom w:val="0"/>
          <w:divBdr>
            <w:top w:val="single" w:sz="48" w:space="0" w:color="auto"/>
            <w:left w:val="single" w:sz="48" w:space="0" w:color="auto"/>
            <w:bottom w:val="single" w:sz="48" w:space="0" w:color="auto"/>
            <w:right w:val="single" w:sz="48" w:space="0" w:color="auto"/>
          </w:divBdr>
          <w:divsChild>
            <w:div w:id="934628959">
              <w:marLeft w:val="0"/>
              <w:marRight w:val="0"/>
              <w:marTop w:val="0"/>
              <w:marBottom w:val="0"/>
              <w:divBdr>
                <w:top w:val="none" w:sz="0" w:space="0" w:color="auto"/>
                <w:left w:val="none" w:sz="0" w:space="0" w:color="auto"/>
                <w:bottom w:val="none" w:sz="0" w:space="0" w:color="auto"/>
                <w:right w:val="none" w:sz="0" w:space="0" w:color="auto"/>
              </w:divBdr>
              <w:divsChild>
                <w:div w:id="1813864754">
                  <w:marLeft w:val="0"/>
                  <w:marRight w:val="0"/>
                  <w:marTop w:val="0"/>
                  <w:marBottom w:val="0"/>
                  <w:divBdr>
                    <w:top w:val="none" w:sz="0" w:space="0" w:color="auto"/>
                    <w:left w:val="none" w:sz="0" w:space="0" w:color="auto"/>
                    <w:bottom w:val="none" w:sz="0" w:space="0" w:color="auto"/>
                    <w:right w:val="none" w:sz="0" w:space="0" w:color="auto"/>
                  </w:divBdr>
                </w:div>
                <w:div w:id="1679428865">
                  <w:marLeft w:val="0"/>
                  <w:marRight w:val="0"/>
                  <w:marTop w:val="0"/>
                  <w:marBottom w:val="0"/>
                  <w:divBdr>
                    <w:top w:val="none" w:sz="0" w:space="0" w:color="auto"/>
                    <w:left w:val="none" w:sz="0" w:space="0" w:color="auto"/>
                    <w:bottom w:val="none" w:sz="0" w:space="0" w:color="auto"/>
                    <w:right w:val="none" w:sz="0" w:space="0" w:color="auto"/>
                  </w:divBdr>
                </w:div>
                <w:div w:id="1833134046">
                  <w:marLeft w:val="0"/>
                  <w:marRight w:val="0"/>
                  <w:marTop w:val="0"/>
                  <w:marBottom w:val="0"/>
                  <w:divBdr>
                    <w:top w:val="none" w:sz="0" w:space="0" w:color="auto"/>
                    <w:left w:val="none" w:sz="0" w:space="0" w:color="auto"/>
                    <w:bottom w:val="none" w:sz="0" w:space="0" w:color="auto"/>
                    <w:right w:val="none" w:sz="0" w:space="0" w:color="auto"/>
                  </w:divBdr>
                </w:div>
                <w:div w:id="1525438080">
                  <w:marLeft w:val="0"/>
                  <w:marRight w:val="0"/>
                  <w:marTop w:val="0"/>
                  <w:marBottom w:val="0"/>
                  <w:divBdr>
                    <w:top w:val="none" w:sz="0" w:space="0" w:color="auto"/>
                    <w:left w:val="none" w:sz="0" w:space="0" w:color="auto"/>
                    <w:bottom w:val="none" w:sz="0" w:space="0" w:color="auto"/>
                    <w:right w:val="none" w:sz="0" w:space="0" w:color="auto"/>
                  </w:divBdr>
                </w:div>
                <w:div w:id="504783989">
                  <w:marLeft w:val="0"/>
                  <w:marRight w:val="0"/>
                  <w:marTop w:val="0"/>
                  <w:marBottom w:val="0"/>
                  <w:divBdr>
                    <w:top w:val="none" w:sz="0" w:space="0" w:color="auto"/>
                    <w:left w:val="none" w:sz="0" w:space="0" w:color="auto"/>
                    <w:bottom w:val="none" w:sz="0" w:space="0" w:color="auto"/>
                    <w:right w:val="none" w:sz="0" w:space="0" w:color="auto"/>
                  </w:divBdr>
                </w:div>
                <w:div w:id="20330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799">
      <w:bodyDiv w:val="1"/>
      <w:marLeft w:val="0"/>
      <w:marRight w:val="0"/>
      <w:marTop w:val="0"/>
      <w:marBottom w:val="0"/>
      <w:divBdr>
        <w:top w:val="none" w:sz="0" w:space="0" w:color="auto"/>
        <w:left w:val="none" w:sz="0" w:space="0" w:color="auto"/>
        <w:bottom w:val="none" w:sz="0" w:space="0" w:color="auto"/>
        <w:right w:val="none" w:sz="0" w:space="0" w:color="auto"/>
      </w:divBdr>
    </w:div>
    <w:div w:id="1531720368">
      <w:bodyDiv w:val="1"/>
      <w:marLeft w:val="0"/>
      <w:marRight w:val="0"/>
      <w:marTop w:val="0"/>
      <w:marBottom w:val="0"/>
      <w:divBdr>
        <w:top w:val="none" w:sz="0" w:space="0" w:color="auto"/>
        <w:left w:val="none" w:sz="0" w:space="0" w:color="auto"/>
        <w:bottom w:val="none" w:sz="0" w:space="0" w:color="auto"/>
        <w:right w:val="none" w:sz="0" w:space="0" w:color="auto"/>
      </w:divBdr>
    </w:div>
    <w:div w:id="1617366029">
      <w:bodyDiv w:val="1"/>
      <w:marLeft w:val="0"/>
      <w:marRight w:val="0"/>
      <w:marTop w:val="0"/>
      <w:marBottom w:val="0"/>
      <w:divBdr>
        <w:top w:val="none" w:sz="0" w:space="0" w:color="auto"/>
        <w:left w:val="none" w:sz="0" w:space="0" w:color="auto"/>
        <w:bottom w:val="none" w:sz="0" w:space="0" w:color="auto"/>
        <w:right w:val="none" w:sz="0" w:space="0" w:color="auto"/>
      </w:divBdr>
    </w:div>
    <w:div w:id="1671054488">
      <w:bodyDiv w:val="1"/>
      <w:marLeft w:val="0"/>
      <w:marRight w:val="0"/>
      <w:marTop w:val="0"/>
      <w:marBottom w:val="0"/>
      <w:divBdr>
        <w:top w:val="none" w:sz="0" w:space="0" w:color="auto"/>
        <w:left w:val="none" w:sz="0" w:space="0" w:color="auto"/>
        <w:bottom w:val="none" w:sz="0" w:space="0" w:color="auto"/>
        <w:right w:val="none" w:sz="0" w:space="0" w:color="auto"/>
      </w:divBdr>
    </w:div>
    <w:div w:id="1677997425">
      <w:bodyDiv w:val="1"/>
      <w:marLeft w:val="0"/>
      <w:marRight w:val="0"/>
      <w:marTop w:val="0"/>
      <w:marBottom w:val="0"/>
      <w:divBdr>
        <w:top w:val="none" w:sz="0" w:space="0" w:color="auto"/>
        <w:left w:val="none" w:sz="0" w:space="0" w:color="auto"/>
        <w:bottom w:val="none" w:sz="0" w:space="0" w:color="auto"/>
        <w:right w:val="none" w:sz="0" w:space="0" w:color="auto"/>
      </w:divBdr>
    </w:div>
    <w:div w:id="1689528942">
      <w:bodyDiv w:val="1"/>
      <w:marLeft w:val="0"/>
      <w:marRight w:val="0"/>
      <w:marTop w:val="0"/>
      <w:marBottom w:val="0"/>
      <w:divBdr>
        <w:top w:val="none" w:sz="0" w:space="0" w:color="auto"/>
        <w:left w:val="none" w:sz="0" w:space="0" w:color="auto"/>
        <w:bottom w:val="none" w:sz="0" w:space="0" w:color="auto"/>
        <w:right w:val="none" w:sz="0" w:space="0" w:color="auto"/>
      </w:divBdr>
      <w:divsChild>
        <w:div w:id="28724855">
          <w:marLeft w:val="0"/>
          <w:marRight w:val="0"/>
          <w:marTop w:val="15"/>
          <w:marBottom w:val="0"/>
          <w:divBdr>
            <w:top w:val="single" w:sz="48" w:space="0" w:color="auto"/>
            <w:left w:val="single" w:sz="48" w:space="0" w:color="auto"/>
            <w:bottom w:val="single" w:sz="48" w:space="0" w:color="auto"/>
            <w:right w:val="single" w:sz="48" w:space="0" w:color="auto"/>
          </w:divBdr>
          <w:divsChild>
            <w:div w:id="1566644436">
              <w:marLeft w:val="0"/>
              <w:marRight w:val="0"/>
              <w:marTop w:val="0"/>
              <w:marBottom w:val="0"/>
              <w:divBdr>
                <w:top w:val="none" w:sz="0" w:space="0" w:color="auto"/>
                <w:left w:val="none" w:sz="0" w:space="0" w:color="auto"/>
                <w:bottom w:val="none" w:sz="0" w:space="0" w:color="auto"/>
                <w:right w:val="none" w:sz="0" w:space="0" w:color="auto"/>
              </w:divBdr>
              <w:divsChild>
                <w:div w:id="1030372508">
                  <w:marLeft w:val="0"/>
                  <w:marRight w:val="0"/>
                  <w:marTop w:val="0"/>
                  <w:marBottom w:val="0"/>
                  <w:divBdr>
                    <w:top w:val="none" w:sz="0" w:space="0" w:color="auto"/>
                    <w:left w:val="none" w:sz="0" w:space="0" w:color="auto"/>
                    <w:bottom w:val="none" w:sz="0" w:space="0" w:color="auto"/>
                    <w:right w:val="none" w:sz="0" w:space="0" w:color="auto"/>
                  </w:divBdr>
                </w:div>
                <w:div w:id="1365977888">
                  <w:marLeft w:val="0"/>
                  <w:marRight w:val="0"/>
                  <w:marTop w:val="0"/>
                  <w:marBottom w:val="0"/>
                  <w:divBdr>
                    <w:top w:val="none" w:sz="0" w:space="0" w:color="auto"/>
                    <w:left w:val="none" w:sz="0" w:space="0" w:color="auto"/>
                    <w:bottom w:val="none" w:sz="0" w:space="0" w:color="auto"/>
                    <w:right w:val="none" w:sz="0" w:space="0" w:color="auto"/>
                  </w:divBdr>
                </w:div>
                <w:div w:id="23557138">
                  <w:marLeft w:val="0"/>
                  <w:marRight w:val="0"/>
                  <w:marTop w:val="0"/>
                  <w:marBottom w:val="0"/>
                  <w:divBdr>
                    <w:top w:val="none" w:sz="0" w:space="0" w:color="auto"/>
                    <w:left w:val="none" w:sz="0" w:space="0" w:color="auto"/>
                    <w:bottom w:val="none" w:sz="0" w:space="0" w:color="auto"/>
                    <w:right w:val="none" w:sz="0" w:space="0" w:color="auto"/>
                  </w:divBdr>
                </w:div>
                <w:div w:id="21975651">
                  <w:marLeft w:val="0"/>
                  <w:marRight w:val="0"/>
                  <w:marTop w:val="0"/>
                  <w:marBottom w:val="0"/>
                  <w:divBdr>
                    <w:top w:val="none" w:sz="0" w:space="0" w:color="auto"/>
                    <w:left w:val="none" w:sz="0" w:space="0" w:color="auto"/>
                    <w:bottom w:val="none" w:sz="0" w:space="0" w:color="auto"/>
                    <w:right w:val="none" w:sz="0" w:space="0" w:color="auto"/>
                  </w:divBdr>
                </w:div>
                <w:div w:id="967079857">
                  <w:marLeft w:val="0"/>
                  <w:marRight w:val="0"/>
                  <w:marTop w:val="0"/>
                  <w:marBottom w:val="0"/>
                  <w:divBdr>
                    <w:top w:val="none" w:sz="0" w:space="0" w:color="auto"/>
                    <w:left w:val="none" w:sz="0" w:space="0" w:color="auto"/>
                    <w:bottom w:val="none" w:sz="0" w:space="0" w:color="auto"/>
                    <w:right w:val="none" w:sz="0" w:space="0" w:color="auto"/>
                  </w:divBdr>
                </w:div>
                <w:div w:id="1987197116">
                  <w:marLeft w:val="0"/>
                  <w:marRight w:val="0"/>
                  <w:marTop w:val="0"/>
                  <w:marBottom w:val="0"/>
                  <w:divBdr>
                    <w:top w:val="none" w:sz="0" w:space="0" w:color="auto"/>
                    <w:left w:val="none" w:sz="0" w:space="0" w:color="auto"/>
                    <w:bottom w:val="none" w:sz="0" w:space="0" w:color="auto"/>
                    <w:right w:val="none" w:sz="0" w:space="0" w:color="auto"/>
                  </w:divBdr>
                </w:div>
                <w:div w:id="244532926">
                  <w:marLeft w:val="0"/>
                  <w:marRight w:val="0"/>
                  <w:marTop w:val="0"/>
                  <w:marBottom w:val="0"/>
                  <w:divBdr>
                    <w:top w:val="none" w:sz="0" w:space="0" w:color="auto"/>
                    <w:left w:val="none" w:sz="0" w:space="0" w:color="auto"/>
                    <w:bottom w:val="none" w:sz="0" w:space="0" w:color="auto"/>
                    <w:right w:val="none" w:sz="0" w:space="0" w:color="auto"/>
                  </w:divBdr>
                </w:div>
                <w:div w:id="2113933374">
                  <w:marLeft w:val="0"/>
                  <w:marRight w:val="0"/>
                  <w:marTop w:val="0"/>
                  <w:marBottom w:val="0"/>
                  <w:divBdr>
                    <w:top w:val="none" w:sz="0" w:space="0" w:color="auto"/>
                    <w:left w:val="none" w:sz="0" w:space="0" w:color="auto"/>
                    <w:bottom w:val="none" w:sz="0" w:space="0" w:color="auto"/>
                    <w:right w:val="none" w:sz="0" w:space="0" w:color="auto"/>
                  </w:divBdr>
                </w:div>
                <w:div w:id="868448856">
                  <w:marLeft w:val="0"/>
                  <w:marRight w:val="0"/>
                  <w:marTop w:val="0"/>
                  <w:marBottom w:val="0"/>
                  <w:divBdr>
                    <w:top w:val="none" w:sz="0" w:space="0" w:color="auto"/>
                    <w:left w:val="none" w:sz="0" w:space="0" w:color="auto"/>
                    <w:bottom w:val="none" w:sz="0" w:space="0" w:color="auto"/>
                    <w:right w:val="none" w:sz="0" w:space="0" w:color="auto"/>
                  </w:divBdr>
                </w:div>
                <w:div w:id="525213319">
                  <w:marLeft w:val="0"/>
                  <w:marRight w:val="0"/>
                  <w:marTop w:val="0"/>
                  <w:marBottom w:val="0"/>
                  <w:divBdr>
                    <w:top w:val="none" w:sz="0" w:space="0" w:color="auto"/>
                    <w:left w:val="none" w:sz="0" w:space="0" w:color="auto"/>
                    <w:bottom w:val="none" w:sz="0" w:space="0" w:color="auto"/>
                    <w:right w:val="none" w:sz="0" w:space="0" w:color="auto"/>
                  </w:divBdr>
                </w:div>
                <w:div w:id="962928559">
                  <w:marLeft w:val="0"/>
                  <w:marRight w:val="0"/>
                  <w:marTop w:val="0"/>
                  <w:marBottom w:val="0"/>
                  <w:divBdr>
                    <w:top w:val="none" w:sz="0" w:space="0" w:color="auto"/>
                    <w:left w:val="none" w:sz="0" w:space="0" w:color="auto"/>
                    <w:bottom w:val="none" w:sz="0" w:space="0" w:color="auto"/>
                    <w:right w:val="none" w:sz="0" w:space="0" w:color="auto"/>
                  </w:divBdr>
                </w:div>
                <w:div w:id="479155265">
                  <w:marLeft w:val="0"/>
                  <w:marRight w:val="0"/>
                  <w:marTop w:val="0"/>
                  <w:marBottom w:val="0"/>
                  <w:divBdr>
                    <w:top w:val="none" w:sz="0" w:space="0" w:color="auto"/>
                    <w:left w:val="none" w:sz="0" w:space="0" w:color="auto"/>
                    <w:bottom w:val="none" w:sz="0" w:space="0" w:color="auto"/>
                    <w:right w:val="none" w:sz="0" w:space="0" w:color="auto"/>
                  </w:divBdr>
                </w:div>
                <w:div w:id="1490050848">
                  <w:marLeft w:val="0"/>
                  <w:marRight w:val="0"/>
                  <w:marTop w:val="0"/>
                  <w:marBottom w:val="0"/>
                  <w:divBdr>
                    <w:top w:val="none" w:sz="0" w:space="0" w:color="auto"/>
                    <w:left w:val="none" w:sz="0" w:space="0" w:color="auto"/>
                    <w:bottom w:val="none" w:sz="0" w:space="0" w:color="auto"/>
                    <w:right w:val="none" w:sz="0" w:space="0" w:color="auto"/>
                  </w:divBdr>
                </w:div>
                <w:div w:id="2002342970">
                  <w:marLeft w:val="0"/>
                  <w:marRight w:val="0"/>
                  <w:marTop w:val="0"/>
                  <w:marBottom w:val="0"/>
                  <w:divBdr>
                    <w:top w:val="none" w:sz="0" w:space="0" w:color="auto"/>
                    <w:left w:val="none" w:sz="0" w:space="0" w:color="auto"/>
                    <w:bottom w:val="none" w:sz="0" w:space="0" w:color="auto"/>
                    <w:right w:val="none" w:sz="0" w:space="0" w:color="auto"/>
                  </w:divBdr>
                </w:div>
                <w:div w:id="1319530282">
                  <w:marLeft w:val="0"/>
                  <w:marRight w:val="0"/>
                  <w:marTop w:val="0"/>
                  <w:marBottom w:val="0"/>
                  <w:divBdr>
                    <w:top w:val="none" w:sz="0" w:space="0" w:color="auto"/>
                    <w:left w:val="none" w:sz="0" w:space="0" w:color="auto"/>
                    <w:bottom w:val="none" w:sz="0" w:space="0" w:color="auto"/>
                    <w:right w:val="none" w:sz="0" w:space="0" w:color="auto"/>
                  </w:divBdr>
                </w:div>
                <w:div w:id="1426068946">
                  <w:marLeft w:val="0"/>
                  <w:marRight w:val="0"/>
                  <w:marTop w:val="0"/>
                  <w:marBottom w:val="0"/>
                  <w:divBdr>
                    <w:top w:val="none" w:sz="0" w:space="0" w:color="auto"/>
                    <w:left w:val="none" w:sz="0" w:space="0" w:color="auto"/>
                    <w:bottom w:val="none" w:sz="0" w:space="0" w:color="auto"/>
                    <w:right w:val="none" w:sz="0" w:space="0" w:color="auto"/>
                  </w:divBdr>
                </w:div>
                <w:div w:id="474638742">
                  <w:marLeft w:val="0"/>
                  <w:marRight w:val="0"/>
                  <w:marTop w:val="0"/>
                  <w:marBottom w:val="0"/>
                  <w:divBdr>
                    <w:top w:val="none" w:sz="0" w:space="0" w:color="auto"/>
                    <w:left w:val="none" w:sz="0" w:space="0" w:color="auto"/>
                    <w:bottom w:val="none" w:sz="0" w:space="0" w:color="auto"/>
                    <w:right w:val="none" w:sz="0" w:space="0" w:color="auto"/>
                  </w:divBdr>
                </w:div>
                <w:div w:id="1411199935">
                  <w:marLeft w:val="0"/>
                  <w:marRight w:val="0"/>
                  <w:marTop w:val="0"/>
                  <w:marBottom w:val="0"/>
                  <w:divBdr>
                    <w:top w:val="none" w:sz="0" w:space="0" w:color="auto"/>
                    <w:left w:val="none" w:sz="0" w:space="0" w:color="auto"/>
                    <w:bottom w:val="none" w:sz="0" w:space="0" w:color="auto"/>
                    <w:right w:val="none" w:sz="0" w:space="0" w:color="auto"/>
                  </w:divBdr>
                </w:div>
                <w:div w:id="1043677312">
                  <w:marLeft w:val="0"/>
                  <w:marRight w:val="0"/>
                  <w:marTop w:val="0"/>
                  <w:marBottom w:val="0"/>
                  <w:divBdr>
                    <w:top w:val="none" w:sz="0" w:space="0" w:color="auto"/>
                    <w:left w:val="none" w:sz="0" w:space="0" w:color="auto"/>
                    <w:bottom w:val="none" w:sz="0" w:space="0" w:color="auto"/>
                    <w:right w:val="none" w:sz="0" w:space="0" w:color="auto"/>
                  </w:divBdr>
                </w:div>
                <w:div w:id="197351518">
                  <w:marLeft w:val="0"/>
                  <w:marRight w:val="0"/>
                  <w:marTop w:val="0"/>
                  <w:marBottom w:val="0"/>
                  <w:divBdr>
                    <w:top w:val="none" w:sz="0" w:space="0" w:color="auto"/>
                    <w:left w:val="none" w:sz="0" w:space="0" w:color="auto"/>
                    <w:bottom w:val="none" w:sz="0" w:space="0" w:color="auto"/>
                    <w:right w:val="none" w:sz="0" w:space="0" w:color="auto"/>
                  </w:divBdr>
                </w:div>
                <w:div w:id="902300362">
                  <w:marLeft w:val="0"/>
                  <w:marRight w:val="0"/>
                  <w:marTop w:val="0"/>
                  <w:marBottom w:val="0"/>
                  <w:divBdr>
                    <w:top w:val="none" w:sz="0" w:space="0" w:color="auto"/>
                    <w:left w:val="none" w:sz="0" w:space="0" w:color="auto"/>
                    <w:bottom w:val="none" w:sz="0" w:space="0" w:color="auto"/>
                    <w:right w:val="none" w:sz="0" w:space="0" w:color="auto"/>
                  </w:divBdr>
                </w:div>
                <w:div w:id="272128308">
                  <w:marLeft w:val="0"/>
                  <w:marRight w:val="0"/>
                  <w:marTop w:val="0"/>
                  <w:marBottom w:val="0"/>
                  <w:divBdr>
                    <w:top w:val="none" w:sz="0" w:space="0" w:color="auto"/>
                    <w:left w:val="none" w:sz="0" w:space="0" w:color="auto"/>
                    <w:bottom w:val="none" w:sz="0" w:space="0" w:color="auto"/>
                    <w:right w:val="none" w:sz="0" w:space="0" w:color="auto"/>
                  </w:divBdr>
                </w:div>
                <w:div w:id="1004479125">
                  <w:marLeft w:val="0"/>
                  <w:marRight w:val="0"/>
                  <w:marTop w:val="0"/>
                  <w:marBottom w:val="0"/>
                  <w:divBdr>
                    <w:top w:val="none" w:sz="0" w:space="0" w:color="auto"/>
                    <w:left w:val="none" w:sz="0" w:space="0" w:color="auto"/>
                    <w:bottom w:val="none" w:sz="0" w:space="0" w:color="auto"/>
                    <w:right w:val="none" w:sz="0" w:space="0" w:color="auto"/>
                  </w:divBdr>
                </w:div>
                <w:div w:id="923995350">
                  <w:marLeft w:val="0"/>
                  <w:marRight w:val="0"/>
                  <w:marTop w:val="0"/>
                  <w:marBottom w:val="0"/>
                  <w:divBdr>
                    <w:top w:val="none" w:sz="0" w:space="0" w:color="auto"/>
                    <w:left w:val="none" w:sz="0" w:space="0" w:color="auto"/>
                    <w:bottom w:val="none" w:sz="0" w:space="0" w:color="auto"/>
                    <w:right w:val="none" w:sz="0" w:space="0" w:color="auto"/>
                  </w:divBdr>
                </w:div>
                <w:div w:id="2138404909">
                  <w:marLeft w:val="0"/>
                  <w:marRight w:val="0"/>
                  <w:marTop w:val="0"/>
                  <w:marBottom w:val="0"/>
                  <w:divBdr>
                    <w:top w:val="none" w:sz="0" w:space="0" w:color="auto"/>
                    <w:left w:val="none" w:sz="0" w:space="0" w:color="auto"/>
                    <w:bottom w:val="none" w:sz="0" w:space="0" w:color="auto"/>
                    <w:right w:val="none" w:sz="0" w:space="0" w:color="auto"/>
                  </w:divBdr>
                </w:div>
                <w:div w:id="243538424">
                  <w:marLeft w:val="0"/>
                  <w:marRight w:val="0"/>
                  <w:marTop w:val="0"/>
                  <w:marBottom w:val="0"/>
                  <w:divBdr>
                    <w:top w:val="none" w:sz="0" w:space="0" w:color="auto"/>
                    <w:left w:val="none" w:sz="0" w:space="0" w:color="auto"/>
                    <w:bottom w:val="none" w:sz="0" w:space="0" w:color="auto"/>
                    <w:right w:val="none" w:sz="0" w:space="0" w:color="auto"/>
                  </w:divBdr>
                </w:div>
                <w:div w:id="1229805544">
                  <w:marLeft w:val="0"/>
                  <w:marRight w:val="0"/>
                  <w:marTop w:val="0"/>
                  <w:marBottom w:val="0"/>
                  <w:divBdr>
                    <w:top w:val="none" w:sz="0" w:space="0" w:color="auto"/>
                    <w:left w:val="none" w:sz="0" w:space="0" w:color="auto"/>
                    <w:bottom w:val="none" w:sz="0" w:space="0" w:color="auto"/>
                    <w:right w:val="none" w:sz="0" w:space="0" w:color="auto"/>
                  </w:divBdr>
                </w:div>
                <w:div w:id="11340109">
                  <w:marLeft w:val="0"/>
                  <w:marRight w:val="0"/>
                  <w:marTop w:val="0"/>
                  <w:marBottom w:val="0"/>
                  <w:divBdr>
                    <w:top w:val="none" w:sz="0" w:space="0" w:color="auto"/>
                    <w:left w:val="none" w:sz="0" w:space="0" w:color="auto"/>
                    <w:bottom w:val="none" w:sz="0" w:space="0" w:color="auto"/>
                    <w:right w:val="none" w:sz="0" w:space="0" w:color="auto"/>
                  </w:divBdr>
                </w:div>
                <w:div w:id="1398046460">
                  <w:marLeft w:val="0"/>
                  <w:marRight w:val="0"/>
                  <w:marTop w:val="0"/>
                  <w:marBottom w:val="0"/>
                  <w:divBdr>
                    <w:top w:val="none" w:sz="0" w:space="0" w:color="auto"/>
                    <w:left w:val="none" w:sz="0" w:space="0" w:color="auto"/>
                    <w:bottom w:val="none" w:sz="0" w:space="0" w:color="auto"/>
                    <w:right w:val="none" w:sz="0" w:space="0" w:color="auto"/>
                  </w:divBdr>
                </w:div>
                <w:div w:id="991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3984">
      <w:bodyDiv w:val="1"/>
      <w:marLeft w:val="0"/>
      <w:marRight w:val="0"/>
      <w:marTop w:val="0"/>
      <w:marBottom w:val="0"/>
      <w:divBdr>
        <w:top w:val="none" w:sz="0" w:space="0" w:color="auto"/>
        <w:left w:val="none" w:sz="0" w:space="0" w:color="auto"/>
        <w:bottom w:val="none" w:sz="0" w:space="0" w:color="auto"/>
        <w:right w:val="none" w:sz="0" w:space="0" w:color="auto"/>
      </w:divBdr>
    </w:div>
    <w:div w:id="1969316294">
      <w:bodyDiv w:val="1"/>
      <w:marLeft w:val="0"/>
      <w:marRight w:val="0"/>
      <w:marTop w:val="0"/>
      <w:marBottom w:val="0"/>
      <w:divBdr>
        <w:top w:val="none" w:sz="0" w:space="0" w:color="auto"/>
        <w:left w:val="none" w:sz="0" w:space="0" w:color="auto"/>
        <w:bottom w:val="none" w:sz="0" w:space="0" w:color="auto"/>
        <w:right w:val="none" w:sz="0" w:space="0" w:color="auto"/>
      </w:divBdr>
    </w:div>
    <w:div w:id="2026863240">
      <w:bodyDiv w:val="1"/>
      <w:marLeft w:val="0"/>
      <w:marRight w:val="0"/>
      <w:marTop w:val="0"/>
      <w:marBottom w:val="0"/>
      <w:divBdr>
        <w:top w:val="none" w:sz="0" w:space="0" w:color="auto"/>
        <w:left w:val="none" w:sz="0" w:space="0" w:color="auto"/>
        <w:bottom w:val="none" w:sz="0" w:space="0" w:color="auto"/>
        <w:right w:val="none" w:sz="0" w:space="0" w:color="auto"/>
      </w:divBdr>
    </w:div>
    <w:div w:id="2089038977">
      <w:bodyDiv w:val="1"/>
      <w:marLeft w:val="0"/>
      <w:marRight w:val="0"/>
      <w:marTop w:val="0"/>
      <w:marBottom w:val="0"/>
      <w:divBdr>
        <w:top w:val="none" w:sz="0" w:space="0" w:color="auto"/>
        <w:left w:val="none" w:sz="0" w:space="0" w:color="auto"/>
        <w:bottom w:val="none" w:sz="0" w:space="0" w:color="auto"/>
        <w:right w:val="none" w:sz="0" w:space="0" w:color="auto"/>
      </w:divBdr>
    </w:div>
    <w:div w:id="2112117457">
      <w:bodyDiv w:val="1"/>
      <w:marLeft w:val="0"/>
      <w:marRight w:val="0"/>
      <w:marTop w:val="0"/>
      <w:marBottom w:val="0"/>
      <w:divBdr>
        <w:top w:val="none" w:sz="0" w:space="0" w:color="auto"/>
        <w:left w:val="none" w:sz="0" w:space="0" w:color="auto"/>
        <w:bottom w:val="none" w:sz="0" w:space="0" w:color="auto"/>
        <w:right w:val="none" w:sz="0" w:space="0" w:color="auto"/>
      </w:divBdr>
    </w:div>
    <w:div w:id="2116093420">
      <w:bodyDiv w:val="1"/>
      <w:marLeft w:val="0"/>
      <w:marRight w:val="0"/>
      <w:marTop w:val="0"/>
      <w:marBottom w:val="0"/>
      <w:divBdr>
        <w:top w:val="none" w:sz="0" w:space="0" w:color="auto"/>
        <w:left w:val="none" w:sz="0" w:space="0" w:color="auto"/>
        <w:bottom w:val="none" w:sz="0" w:space="0" w:color="auto"/>
        <w:right w:val="none" w:sz="0" w:space="0" w:color="auto"/>
      </w:divBdr>
    </w:div>
    <w:div w:id="21437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html" TargetMode="External"/><Relationship Id="rId5" Type="http://schemas.openxmlformats.org/officeDocument/2006/relationships/webSettings" Target="webSettings.xml"/><Relationship Id="rId10" Type="http://schemas.openxmlformats.org/officeDocument/2006/relationships/hyperlink" Target="http://www.secretariasenado.gov.co/senado/basedoc/ley_0599_2000.html" TargetMode="External"/><Relationship Id="rId4" Type="http://schemas.openxmlformats.org/officeDocument/2006/relationships/settings" Target="settings.xml"/><Relationship Id="rId9" Type="http://schemas.openxmlformats.org/officeDocument/2006/relationships/hyperlink" Target="http://www.secretariasenado.gov.co/senado/basedoc/ley_0599_2000.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c-422_2021.html" TargetMode="External"/><Relationship Id="rId3" Type="http://schemas.openxmlformats.org/officeDocument/2006/relationships/hyperlink" Target="https://www.corteconstitucional.gov.co/relatoria/2021/C-116-21.htm" TargetMode="External"/><Relationship Id="rId7" Type="http://schemas.openxmlformats.org/officeDocument/2006/relationships/hyperlink" Target="https://www.corteidh.or.cr/tablas/30237.pdf" TargetMode="External"/><Relationship Id="rId2" Type="http://schemas.openxmlformats.org/officeDocument/2006/relationships/hyperlink" Target="https://www.udlap.mx/cesij/files/indices-globales/0-IGI-2020-UDLAP.pdf" TargetMode="External"/><Relationship Id="rId1" Type="http://schemas.openxmlformats.org/officeDocument/2006/relationships/hyperlink" Target="https://www.mindefensa.gov.co/irj/go/km/docs/Mindefensa/Documentos/descargas/estudios_sectoriales/info_estadistica/Logros_Sector_Defensa.pdf" TargetMode="External"/><Relationship Id="rId6" Type="http://schemas.openxmlformats.org/officeDocument/2006/relationships/hyperlink" Target="https://revistas.udem.edu.co/index.php/opinion/article/view/2876/2625" TargetMode="External"/><Relationship Id="rId5" Type="http://schemas.openxmlformats.org/officeDocument/2006/relationships/hyperlink" Target="https://www.semana.com/nacion/articulo/primicia-el-macabro-plan-del-clan-del-golfo-estan-reclutando-a-exfarc-para-asesinar-a-policias-en-plan-pistola/202208/" TargetMode="External"/><Relationship Id="rId4" Type="http://schemas.openxmlformats.org/officeDocument/2006/relationships/hyperlink" Target="https://www.reclutamiento.mil.co/el-ejercito-nacional-y-la-organizacion-de-victimas-funvides-entregan-a-la-jep-el-informe-caminando-hacia-la-paz-verdad-y-dol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Avance_Politica_Defensa_Seguridad%20(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s-CO" sz="1100" b="0" i="0" baseline="0" dirty="0">
                <a:effectLst/>
              </a:rPr>
              <a:t>Asesinados Fuerza Pública 2000 - 2021</a:t>
            </a:r>
            <a:endParaRPr lang="es-CO" sz="1100" dirty="0">
              <a:effectLst/>
            </a:endParaRPr>
          </a:p>
        </c:rich>
      </c:tx>
      <c:layout>
        <c:manualLayout>
          <c:xMode val="edge"/>
          <c:yMode val="edge"/>
          <c:x val="0.2613699946545584"/>
          <c:y val="4.8753635525289066E-2"/>
        </c:manualLayout>
      </c:layout>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'Año completo'!$B$55</c:f>
              <c:strCache>
                <c:ptCount val="1"/>
                <c:pt idx="0">
                  <c:v>Asesinados Fuerzas Militares</c:v>
                </c:pt>
              </c:strCache>
            </c:strRef>
          </c:tx>
          <c:spPr>
            <a:solidFill>
              <a:schemeClr val="accent3">
                <a:tint val="65000"/>
              </a:schemeClr>
            </a:solidFill>
            <a:ln>
              <a:noFill/>
            </a:ln>
            <a:effectLst/>
          </c:spPr>
          <c:invertIfNegative val="0"/>
          <c:cat>
            <c:numRef>
              <c:f>'Año completo'!$C$54:$Z$54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'Año completo'!$C$55:$Z$55</c:f>
              <c:numCache>
                <c:formatCode>#,##0</c:formatCode>
                <c:ptCount val="22"/>
                <c:pt idx="0">
                  <c:v>321</c:v>
                </c:pt>
                <c:pt idx="1">
                  <c:v>327</c:v>
                </c:pt>
                <c:pt idx="2">
                  <c:v>512</c:v>
                </c:pt>
                <c:pt idx="3">
                  <c:v>466</c:v>
                </c:pt>
                <c:pt idx="4">
                  <c:v>467</c:v>
                </c:pt>
                <c:pt idx="5">
                  <c:v>528</c:v>
                </c:pt>
                <c:pt idx="6">
                  <c:v>445</c:v>
                </c:pt>
                <c:pt idx="7">
                  <c:v>344</c:v>
                </c:pt>
                <c:pt idx="8">
                  <c:v>288</c:v>
                </c:pt>
                <c:pt idx="9">
                  <c:v>348</c:v>
                </c:pt>
                <c:pt idx="10">
                  <c:v>323</c:v>
                </c:pt>
                <c:pt idx="11">
                  <c:v>349</c:v>
                </c:pt>
                <c:pt idx="12">
                  <c:v>245</c:v>
                </c:pt>
                <c:pt idx="13">
                  <c:v>291</c:v>
                </c:pt>
                <c:pt idx="14">
                  <c:v>178</c:v>
                </c:pt>
                <c:pt idx="15">
                  <c:v>110</c:v>
                </c:pt>
                <c:pt idx="16">
                  <c:v>46</c:v>
                </c:pt>
                <c:pt idx="17">
                  <c:v>23</c:v>
                </c:pt>
                <c:pt idx="18">
                  <c:v>31</c:v>
                </c:pt>
                <c:pt idx="19">
                  <c:v>58</c:v>
                </c:pt>
                <c:pt idx="20">
                  <c:v>57</c:v>
                </c:pt>
                <c:pt idx="21">
                  <c:v>84</c:v>
                </c:pt>
              </c:numCache>
            </c:numRef>
          </c:val>
          <c:extLst>
            <c:ext xmlns:c16="http://schemas.microsoft.com/office/drawing/2014/chart" uri="{C3380CC4-5D6E-409C-BE32-E72D297353CC}">
              <c16:uniqueId val="{00000000-38ED-4D07-BF40-15D2CD6CC232}"/>
            </c:ext>
          </c:extLst>
        </c:ser>
        <c:ser>
          <c:idx val="1"/>
          <c:order val="1"/>
          <c:tx>
            <c:strRef>
              <c:f>'Año completo'!$B$56</c:f>
              <c:strCache>
                <c:ptCount val="1"/>
                <c:pt idx="0">
                  <c:v>Asesinados Policía Nacional</c:v>
                </c:pt>
              </c:strCache>
            </c:strRef>
          </c:tx>
          <c:spPr>
            <a:solidFill>
              <a:schemeClr val="accent3"/>
            </a:solidFill>
            <a:ln>
              <a:noFill/>
            </a:ln>
            <a:effectLst/>
          </c:spPr>
          <c:invertIfNegative val="0"/>
          <c:cat>
            <c:numRef>
              <c:f>'Año completo'!$C$54:$Z$54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'Año completo'!$C$56:$Z$56</c:f>
              <c:numCache>
                <c:formatCode>#,##0</c:formatCode>
                <c:ptCount val="22"/>
                <c:pt idx="0">
                  <c:v>284</c:v>
                </c:pt>
                <c:pt idx="1">
                  <c:v>194</c:v>
                </c:pt>
                <c:pt idx="2">
                  <c:v>187</c:v>
                </c:pt>
                <c:pt idx="3">
                  <c:v>131</c:v>
                </c:pt>
                <c:pt idx="4">
                  <c:v>123</c:v>
                </c:pt>
                <c:pt idx="5">
                  <c:v>189</c:v>
                </c:pt>
                <c:pt idx="6">
                  <c:v>149</c:v>
                </c:pt>
                <c:pt idx="7">
                  <c:v>113</c:v>
                </c:pt>
                <c:pt idx="8">
                  <c:v>85</c:v>
                </c:pt>
                <c:pt idx="9">
                  <c:v>120</c:v>
                </c:pt>
                <c:pt idx="10">
                  <c:v>165</c:v>
                </c:pt>
                <c:pt idx="11">
                  <c:v>135</c:v>
                </c:pt>
                <c:pt idx="12">
                  <c:v>132</c:v>
                </c:pt>
                <c:pt idx="13">
                  <c:v>70</c:v>
                </c:pt>
                <c:pt idx="14">
                  <c:v>111</c:v>
                </c:pt>
                <c:pt idx="15">
                  <c:v>67</c:v>
                </c:pt>
                <c:pt idx="16">
                  <c:v>69</c:v>
                </c:pt>
                <c:pt idx="17">
                  <c:v>60</c:v>
                </c:pt>
                <c:pt idx="18">
                  <c:v>63</c:v>
                </c:pt>
                <c:pt idx="19">
                  <c:v>43</c:v>
                </c:pt>
                <c:pt idx="20">
                  <c:v>37</c:v>
                </c:pt>
                <c:pt idx="21">
                  <c:v>64</c:v>
                </c:pt>
              </c:numCache>
            </c:numRef>
          </c:val>
          <c:extLst>
            <c:ext xmlns:c16="http://schemas.microsoft.com/office/drawing/2014/chart" uri="{C3380CC4-5D6E-409C-BE32-E72D297353CC}">
              <c16:uniqueId val="{00000001-38ED-4D07-BF40-15D2CD6CC232}"/>
            </c:ext>
          </c:extLst>
        </c:ser>
        <c:ser>
          <c:idx val="2"/>
          <c:order val="2"/>
          <c:tx>
            <c:strRef>
              <c:f>'Año completo'!$B$57</c:f>
              <c:strCache>
                <c:ptCount val="1"/>
                <c:pt idx="0">
                  <c:v>Asesinados Fuerza Pública</c:v>
                </c:pt>
              </c:strCache>
            </c:strRef>
          </c:tx>
          <c:spPr>
            <a:solidFill>
              <a:schemeClr val="accent3">
                <a:shade val="65000"/>
              </a:schemeClr>
            </a:solidFill>
            <a:ln>
              <a:noFill/>
            </a:ln>
            <a:effectLst/>
          </c:spPr>
          <c:invertIfNegative val="0"/>
          <c:cat>
            <c:numRef>
              <c:f>'Año completo'!$C$54:$Z$54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'Año completo'!$C$57:$Z$57</c:f>
              <c:numCache>
                <c:formatCode>#,##0</c:formatCode>
                <c:ptCount val="22"/>
                <c:pt idx="0">
                  <c:v>605</c:v>
                </c:pt>
                <c:pt idx="1">
                  <c:v>521</c:v>
                </c:pt>
                <c:pt idx="2">
                  <c:v>699</c:v>
                </c:pt>
                <c:pt idx="3">
                  <c:v>597</c:v>
                </c:pt>
                <c:pt idx="4">
                  <c:v>590</c:v>
                </c:pt>
                <c:pt idx="5">
                  <c:v>717</c:v>
                </c:pt>
                <c:pt idx="6">
                  <c:v>594</c:v>
                </c:pt>
                <c:pt idx="7">
                  <c:v>457</c:v>
                </c:pt>
                <c:pt idx="8">
                  <c:v>373</c:v>
                </c:pt>
                <c:pt idx="9">
                  <c:v>468</c:v>
                </c:pt>
                <c:pt idx="10">
                  <c:v>488</c:v>
                </c:pt>
                <c:pt idx="11">
                  <c:v>484</c:v>
                </c:pt>
                <c:pt idx="12">
                  <c:v>377</c:v>
                </c:pt>
                <c:pt idx="13">
                  <c:v>361</c:v>
                </c:pt>
                <c:pt idx="14">
                  <c:v>289</c:v>
                </c:pt>
                <c:pt idx="15">
                  <c:v>177</c:v>
                </c:pt>
                <c:pt idx="16">
                  <c:v>115</c:v>
                </c:pt>
                <c:pt idx="17">
                  <c:v>83</c:v>
                </c:pt>
                <c:pt idx="18">
                  <c:v>94</c:v>
                </c:pt>
                <c:pt idx="19">
                  <c:v>101</c:v>
                </c:pt>
                <c:pt idx="20">
                  <c:v>94</c:v>
                </c:pt>
                <c:pt idx="21">
                  <c:v>148</c:v>
                </c:pt>
              </c:numCache>
            </c:numRef>
          </c:val>
          <c:extLst>
            <c:ext xmlns:c16="http://schemas.microsoft.com/office/drawing/2014/chart" uri="{C3380CC4-5D6E-409C-BE32-E72D297353CC}">
              <c16:uniqueId val="{00000002-38ED-4D07-BF40-15D2CD6CC232}"/>
            </c:ext>
          </c:extLst>
        </c:ser>
        <c:dLbls>
          <c:showLegendKey val="0"/>
          <c:showVal val="0"/>
          <c:showCatName val="0"/>
          <c:showSerName val="0"/>
          <c:showPercent val="0"/>
          <c:showBubbleSize val="0"/>
        </c:dLbls>
        <c:gapWidth val="219"/>
        <c:overlap val="-27"/>
        <c:axId val="308685528"/>
        <c:axId val="308690624"/>
      </c:barChart>
      <c:catAx>
        <c:axId val="30868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8690624"/>
        <c:crosses val="autoZero"/>
        <c:auto val="1"/>
        <c:lblAlgn val="ctr"/>
        <c:lblOffset val="100"/>
        <c:noMultiLvlLbl val="0"/>
      </c:catAx>
      <c:valAx>
        <c:axId val="308690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08685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b:Tag>
    <b:SourceType>Book</b:SourceType>
    <b:Guid>{AF938930-8FC5-4A46-AF3E-22459B8C5677}</b:Guid>
    <b:Author>
      <b:Author>
        <b:NameList>
          <b:Person>
            <b:Last>Corte Constitucional de Colombia. MP. CIFUENTES MUÑOZ</b:Last>
            <b:First>Eduardo.Sentencia</b:First>
            <b:Middle>No. T-380/93</b:Middle>
          </b:Person>
        </b:NameList>
      </b:Author>
    </b:Author>
    <b:RefOrder>1</b:RefOrder>
  </b:Source>
  <b:Source>
    <b:Tag>Con</b:Tag>
    <b:SourceType>Book</b:SourceType>
    <b:Guid>{4AF2193A-6D4C-4976-9540-C0260924F9C5}</b:Guid>
    <b:Author>
      <b:Author>
        <b:NameList>
          <b:Person>
            <b:Last>Constitución Política de Colombia. Art. 7</b:Last>
            <b:First>10,</b:First>
            <b:Middle>13, 63, 68, 96,171, 176, 246, 286, 287, 329, 330. 20</b:Middle>
          </b:Person>
        </b:NameList>
      </b:Author>
    </b:Author>
    <b:RefOrder>2</b:RefOrder>
  </b:Source>
</b:Sources>
</file>

<file path=customXml/itemProps1.xml><?xml version="1.0" encoding="utf-8"?>
<ds:datastoreItem xmlns:ds="http://schemas.openxmlformats.org/officeDocument/2006/customXml" ds:itemID="{8F421759-B9B6-4B3E-9964-6C1CA2FE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9445</Words>
  <Characters>51951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Nelsy Tirado</cp:lastModifiedBy>
  <cp:revision>2</cp:revision>
  <cp:lastPrinted>2022-12-14T14:35:00Z</cp:lastPrinted>
  <dcterms:created xsi:type="dcterms:W3CDTF">2022-12-14T14:39:00Z</dcterms:created>
  <dcterms:modified xsi:type="dcterms:W3CDTF">2022-12-14T14:39:00Z</dcterms:modified>
</cp:coreProperties>
</file>